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2FF" w:rsidRPr="00F062FF" w:rsidRDefault="00F062FF" w:rsidP="00EE4634">
      <w:pPr>
        <w:keepNext/>
        <w:keepLines/>
        <w:spacing w:after="0" w:line="240" w:lineRule="auto"/>
        <w:jc w:val="center"/>
        <w:outlineLvl w:val="0"/>
        <w:rPr>
          <w:rFonts w:ascii="Times New Roman" w:eastAsiaTheme="majorEastAsia" w:hAnsi="Times New Roman" w:cstheme="majorBidi"/>
          <w:sz w:val="28"/>
          <w:szCs w:val="28"/>
        </w:rPr>
      </w:pPr>
      <w:bookmarkStart w:id="0" w:name="_GoBack"/>
      <w:bookmarkEnd w:id="0"/>
      <w:r w:rsidRPr="00F062FF">
        <w:rPr>
          <w:rFonts w:ascii="Segoe UI" w:eastAsia="Times New Roman" w:hAnsi="Segoe UI" w:cs="Segoe UI"/>
          <w:iCs/>
          <w:lang w:eastAsia="sr-Latn-BA"/>
        </w:rPr>
        <w:t>Review</w:t>
      </w:r>
      <w:r w:rsidRPr="00F062FF">
        <w:rPr>
          <w:rFonts w:ascii="Segoe UI" w:eastAsia="Times New Roman" w:hAnsi="Segoe UI" w:cs="Segoe UI"/>
          <w:iCs/>
          <w:lang w:eastAsia="sr-Latn-BA"/>
        </w:rPr>
        <w:t xml:space="preserve"> </w:t>
      </w:r>
      <w:r w:rsidRPr="00F062FF">
        <w:rPr>
          <w:rFonts w:ascii="Segoe UI" w:eastAsia="Times New Roman" w:hAnsi="Segoe UI" w:cs="Segoe UI"/>
          <w:iCs/>
          <w:lang w:eastAsia="sr-Latn-BA"/>
        </w:rPr>
        <w:t>paper</w:t>
      </w:r>
    </w:p>
    <w:p w:rsidR="00F062FF" w:rsidRDefault="00F062FF" w:rsidP="00EE4634">
      <w:pPr>
        <w:keepNext/>
        <w:keepLines/>
        <w:spacing w:after="0" w:line="240" w:lineRule="auto"/>
        <w:jc w:val="center"/>
        <w:outlineLvl w:val="0"/>
        <w:rPr>
          <w:rFonts w:ascii="Times New Roman" w:eastAsiaTheme="majorEastAsia" w:hAnsi="Times New Roman" w:cstheme="majorBidi"/>
          <w:sz w:val="28"/>
          <w:szCs w:val="28"/>
        </w:rPr>
      </w:pPr>
    </w:p>
    <w:p w:rsidR="00507788" w:rsidRPr="00B32568" w:rsidRDefault="000E3C7A" w:rsidP="00EE4634">
      <w:pPr>
        <w:keepNext/>
        <w:keepLines/>
        <w:spacing w:after="0" w:line="240" w:lineRule="auto"/>
        <w:jc w:val="center"/>
        <w:outlineLvl w:val="0"/>
        <w:rPr>
          <w:rFonts w:ascii="Times New Roman" w:eastAsiaTheme="majorEastAsia" w:hAnsi="Times New Roman" w:cstheme="majorBidi"/>
          <w:b/>
          <w:sz w:val="28"/>
          <w:szCs w:val="28"/>
        </w:rPr>
      </w:pPr>
      <w:r w:rsidRPr="00F062FF">
        <w:rPr>
          <w:rFonts w:ascii="Times New Roman" w:eastAsiaTheme="majorEastAsia" w:hAnsi="Times New Roman" w:cstheme="majorBidi"/>
          <w:sz w:val="28"/>
          <w:szCs w:val="28"/>
        </w:rPr>
        <w:t xml:space="preserve">THE MAIN CHARACTERISTICS OF CRIMINAL PROCEEDINGS IN </w:t>
      </w:r>
      <w:r w:rsidRPr="00B32568">
        <w:rPr>
          <w:rFonts w:ascii="Times New Roman" w:eastAsiaTheme="majorEastAsia" w:hAnsi="Times New Roman" w:cstheme="majorBidi"/>
          <w:b/>
          <w:sz w:val="28"/>
          <w:szCs w:val="28"/>
        </w:rPr>
        <w:t>ENGLAND</w:t>
      </w:r>
    </w:p>
    <w:p w:rsidR="004123E4" w:rsidRPr="00B32568" w:rsidRDefault="004123E4" w:rsidP="00EE4634">
      <w:pPr>
        <w:keepNext/>
        <w:keepLines/>
        <w:spacing w:after="0" w:line="240" w:lineRule="auto"/>
        <w:jc w:val="center"/>
        <w:outlineLvl w:val="0"/>
        <w:rPr>
          <w:rFonts w:ascii="Times New Roman" w:eastAsiaTheme="majorEastAsia" w:hAnsi="Times New Roman" w:cstheme="majorBidi"/>
          <w:sz w:val="24"/>
          <w:szCs w:val="24"/>
        </w:rPr>
      </w:pPr>
    </w:p>
    <w:p w:rsidR="00DC7C33" w:rsidRPr="00B32568" w:rsidRDefault="000E3C7A" w:rsidP="00EE4634">
      <w:pPr>
        <w:keepNext/>
        <w:keepLines/>
        <w:spacing w:after="0" w:line="240" w:lineRule="auto"/>
        <w:jc w:val="center"/>
        <w:outlineLvl w:val="0"/>
        <w:rPr>
          <w:rFonts w:ascii="Times New Roman" w:eastAsiaTheme="majorEastAsia" w:hAnsi="Times New Roman" w:cstheme="majorBidi"/>
          <w:sz w:val="24"/>
          <w:szCs w:val="24"/>
        </w:rPr>
      </w:pPr>
      <w:proofErr w:type="spellStart"/>
      <w:r w:rsidRPr="00B32568">
        <w:rPr>
          <w:rFonts w:ascii="Times New Roman" w:eastAsiaTheme="majorEastAsia" w:hAnsi="Times New Roman" w:cstheme="majorBidi"/>
          <w:sz w:val="24"/>
          <w:szCs w:val="24"/>
        </w:rPr>
        <w:t>Miodrag</w:t>
      </w:r>
      <w:proofErr w:type="spellEnd"/>
      <w:r w:rsidRPr="00B32568">
        <w:rPr>
          <w:rFonts w:ascii="Times New Roman" w:eastAsiaTheme="majorEastAsia" w:hAnsi="Times New Roman" w:cstheme="majorBidi"/>
          <w:sz w:val="24"/>
          <w:szCs w:val="24"/>
        </w:rPr>
        <w:t xml:space="preserve"> N. </w:t>
      </w:r>
      <w:proofErr w:type="spellStart"/>
      <w:r w:rsidRPr="00B32568">
        <w:rPr>
          <w:rFonts w:ascii="Times New Roman" w:eastAsiaTheme="majorEastAsia" w:hAnsi="Times New Roman" w:cstheme="majorBidi"/>
          <w:sz w:val="24"/>
          <w:szCs w:val="24"/>
        </w:rPr>
        <w:t>Simović</w:t>
      </w:r>
      <w:proofErr w:type="spellEnd"/>
      <w:r w:rsidR="00DC7C33" w:rsidRPr="00B32568">
        <w:rPr>
          <w:rStyle w:val="FootnoteReference"/>
          <w:rFonts w:ascii="Times New Roman" w:eastAsiaTheme="majorEastAsia" w:hAnsi="Times New Roman" w:cstheme="majorBidi"/>
          <w:sz w:val="24"/>
          <w:szCs w:val="24"/>
        </w:rPr>
        <w:footnoteReference w:id="1"/>
      </w:r>
    </w:p>
    <w:p w:rsidR="00025ADF" w:rsidRPr="00B32568" w:rsidRDefault="000E3C7A" w:rsidP="00EE4634">
      <w:pPr>
        <w:keepNext/>
        <w:keepLines/>
        <w:spacing w:after="0" w:line="240" w:lineRule="auto"/>
        <w:jc w:val="center"/>
        <w:outlineLvl w:val="0"/>
        <w:rPr>
          <w:rFonts w:ascii="Times New Roman" w:eastAsiaTheme="majorEastAsia" w:hAnsi="Times New Roman" w:cstheme="majorBidi"/>
          <w:i/>
          <w:sz w:val="24"/>
          <w:szCs w:val="24"/>
        </w:rPr>
      </w:pPr>
      <w:r w:rsidRPr="00B32568">
        <w:rPr>
          <w:rFonts w:ascii="Times New Roman" w:eastAsiaTheme="majorEastAsia" w:hAnsi="Times New Roman" w:cstheme="majorBidi"/>
          <w:i/>
          <w:sz w:val="24"/>
          <w:szCs w:val="24"/>
        </w:rPr>
        <w:t>Constitutional Court of Bosnia and Herzegovina</w:t>
      </w:r>
      <w:r w:rsidR="00F9654F" w:rsidRPr="00B32568">
        <w:rPr>
          <w:rFonts w:ascii="Times New Roman" w:eastAsiaTheme="majorEastAsia" w:hAnsi="Times New Roman" w:cstheme="majorBidi"/>
          <w:i/>
          <w:sz w:val="24"/>
          <w:szCs w:val="24"/>
        </w:rPr>
        <w:t>,</w:t>
      </w:r>
      <w:r w:rsidR="00507788" w:rsidRPr="00B32568">
        <w:rPr>
          <w:rFonts w:ascii="Times New Roman" w:eastAsiaTheme="majorEastAsia" w:hAnsi="Times New Roman" w:cstheme="majorBidi"/>
          <w:i/>
          <w:sz w:val="24"/>
          <w:szCs w:val="24"/>
        </w:rPr>
        <w:t xml:space="preserve"> </w:t>
      </w:r>
      <w:r w:rsidRPr="00B32568">
        <w:rPr>
          <w:rFonts w:ascii="Times New Roman" w:eastAsiaTheme="majorEastAsia" w:hAnsi="Times New Roman" w:cstheme="majorBidi"/>
          <w:i/>
          <w:sz w:val="24"/>
          <w:szCs w:val="24"/>
        </w:rPr>
        <w:t>Faculty of Law of University in Banja Luka</w:t>
      </w:r>
    </w:p>
    <w:p w:rsidR="004123E4" w:rsidRPr="00B32568" w:rsidRDefault="004123E4" w:rsidP="00EE4634">
      <w:pPr>
        <w:keepNext/>
        <w:keepLines/>
        <w:spacing w:after="0" w:line="240" w:lineRule="auto"/>
        <w:jc w:val="center"/>
        <w:outlineLvl w:val="0"/>
        <w:rPr>
          <w:rFonts w:ascii="Times New Roman" w:eastAsiaTheme="majorEastAsia" w:hAnsi="Times New Roman" w:cstheme="majorBidi"/>
          <w:sz w:val="24"/>
          <w:szCs w:val="24"/>
        </w:rPr>
      </w:pPr>
    </w:p>
    <w:p w:rsidR="004123E4" w:rsidRPr="00B32568" w:rsidRDefault="000E3C7A" w:rsidP="00EE4634">
      <w:pPr>
        <w:keepNext/>
        <w:keepLines/>
        <w:spacing w:after="0" w:line="240" w:lineRule="auto"/>
        <w:jc w:val="center"/>
        <w:outlineLvl w:val="0"/>
        <w:rPr>
          <w:rFonts w:ascii="Times New Roman" w:eastAsiaTheme="majorEastAsia" w:hAnsi="Times New Roman" w:cstheme="majorBidi"/>
          <w:sz w:val="24"/>
          <w:szCs w:val="24"/>
        </w:rPr>
      </w:pPr>
      <w:proofErr w:type="spellStart"/>
      <w:r w:rsidRPr="00B32568">
        <w:rPr>
          <w:rFonts w:ascii="Times New Roman" w:eastAsiaTheme="majorEastAsia" w:hAnsi="Times New Roman" w:cstheme="majorBidi"/>
          <w:sz w:val="24"/>
          <w:szCs w:val="24"/>
        </w:rPr>
        <w:t>Amna</w:t>
      </w:r>
      <w:proofErr w:type="spellEnd"/>
      <w:r w:rsidRPr="00B32568">
        <w:rPr>
          <w:rFonts w:ascii="Times New Roman" w:eastAsiaTheme="majorEastAsia" w:hAnsi="Times New Roman" w:cstheme="majorBidi"/>
          <w:sz w:val="24"/>
          <w:szCs w:val="24"/>
        </w:rPr>
        <w:t xml:space="preserve"> </w:t>
      </w:r>
      <w:proofErr w:type="spellStart"/>
      <w:r w:rsidRPr="00B32568">
        <w:rPr>
          <w:rFonts w:ascii="Times New Roman" w:eastAsiaTheme="majorEastAsia" w:hAnsi="Times New Roman" w:cstheme="majorBidi"/>
          <w:sz w:val="24"/>
          <w:szCs w:val="24"/>
        </w:rPr>
        <w:t>Hrustić</w:t>
      </w:r>
      <w:proofErr w:type="spellEnd"/>
      <w:r w:rsidR="004123E4" w:rsidRPr="00B32568">
        <w:rPr>
          <w:rStyle w:val="FootnoteReference"/>
          <w:rFonts w:ascii="Times New Roman" w:eastAsiaTheme="majorEastAsia" w:hAnsi="Times New Roman" w:cstheme="majorBidi"/>
          <w:sz w:val="24"/>
          <w:szCs w:val="24"/>
        </w:rPr>
        <w:footnoteReference w:id="2"/>
      </w:r>
    </w:p>
    <w:p w:rsidR="00507788" w:rsidRPr="00B32568" w:rsidRDefault="000E3C7A" w:rsidP="00EE4634">
      <w:pPr>
        <w:keepNext/>
        <w:keepLines/>
        <w:spacing w:after="0" w:line="240" w:lineRule="auto"/>
        <w:jc w:val="center"/>
        <w:outlineLvl w:val="0"/>
        <w:rPr>
          <w:rFonts w:ascii="Times New Roman" w:eastAsiaTheme="majorEastAsia" w:hAnsi="Times New Roman" w:cstheme="majorBidi"/>
          <w:b/>
          <w:i/>
          <w:sz w:val="28"/>
          <w:szCs w:val="32"/>
        </w:rPr>
      </w:pPr>
      <w:r w:rsidRPr="00B32568">
        <w:rPr>
          <w:rFonts w:ascii="Times New Roman" w:eastAsiaTheme="majorEastAsia" w:hAnsi="Times New Roman" w:cstheme="majorBidi"/>
          <w:i/>
          <w:sz w:val="24"/>
          <w:szCs w:val="24"/>
        </w:rPr>
        <w:t xml:space="preserve">Faculty of Law of University in </w:t>
      </w:r>
      <w:proofErr w:type="spellStart"/>
      <w:r w:rsidRPr="00B32568">
        <w:rPr>
          <w:rFonts w:ascii="Times New Roman" w:eastAsiaTheme="majorEastAsia" w:hAnsi="Times New Roman" w:cstheme="majorBidi"/>
          <w:i/>
          <w:sz w:val="24"/>
          <w:szCs w:val="24"/>
        </w:rPr>
        <w:t>Zenica</w:t>
      </w:r>
      <w:proofErr w:type="spellEnd"/>
    </w:p>
    <w:p w:rsidR="00C7221D" w:rsidRPr="00B32568" w:rsidRDefault="00C7221D" w:rsidP="00EE4634">
      <w:pPr>
        <w:spacing w:line="240" w:lineRule="auto"/>
        <w:jc w:val="center"/>
      </w:pPr>
    </w:p>
    <w:p w:rsidR="00F9654F" w:rsidRPr="00B32568" w:rsidRDefault="00F9654F" w:rsidP="00EE4634">
      <w:pPr>
        <w:spacing w:after="0" w:line="240" w:lineRule="auto"/>
        <w:ind w:firstLine="720"/>
        <w:jc w:val="both"/>
        <w:rPr>
          <w:rFonts w:ascii="Times New Roman" w:hAnsi="Times New Roman" w:cs="Times New Roman"/>
          <w:i/>
          <w:sz w:val="24"/>
          <w:szCs w:val="24"/>
        </w:rPr>
      </w:pPr>
    </w:p>
    <w:p w:rsidR="00C7221D" w:rsidRPr="00B32568" w:rsidRDefault="00C7221D" w:rsidP="00EE4634">
      <w:pPr>
        <w:spacing w:after="0" w:line="240" w:lineRule="auto"/>
        <w:rPr>
          <w:rFonts w:ascii="Times New Roman" w:hAnsi="Times New Roman" w:cs="Times New Roman"/>
          <w:i/>
          <w:sz w:val="24"/>
          <w:szCs w:val="24"/>
        </w:rPr>
      </w:pPr>
      <w:r w:rsidRPr="00B32568">
        <w:rPr>
          <w:rFonts w:ascii="Times New Roman" w:hAnsi="Times New Roman" w:cs="Times New Roman"/>
          <w:i/>
          <w:sz w:val="24"/>
          <w:szCs w:val="24"/>
        </w:rPr>
        <w:t xml:space="preserve">Abstract: The thematic concept of the Paper consists of legal issues related to criminal proceedings in England, which </w:t>
      </w:r>
      <w:proofErr w:type="gramStart"/>
      <w:r w:rsidRPr="00B32568">
        <w:rPr>
          <w:rFonts w:ascii="Times New Roman" w:hAnsi="Times New Roman" w:cs="Times New Roman"/>
          <w:i/>
          <w:sz w:val="24"/>
          <w:szCs w:val="24"/>
        </w:rPr>
        <w:t xml:space="preserve">is the so-called pure </w:t>
      </w:r>
      <w:r w:rsidR="008D0B8E" w:rsidRPr="00B32568">
        <w:rPr>
          <w:rFonts w:ascii="Times New Roman" w:hAnsi="Times New Roman" w:cs="Times New Roman"/>
          <w:i/>
          <w:sz w:val="24"/>
          <w:szCs w:val="24"/>
        </w:rPr>
        <w:t>adversarial proceedings</w:t>
      </w:r>
      <w:proofErr w:type="gramEnd"/>
      <w:r w:rsidR="008D0B8E" w:rsidRPr="00B32568">
        <w:rPr>
          <w:rFonts w:ascii="Times New Roman" w:hAnsi="Times New Roman" w:cs="Times New Roman"/>
          <w:i/>
          <w:sz w:val="24"/>
          <w:szCs w:val="24"/>
        </w:rPr>
        <w:t xml:space="preserve">. </w:t>
      </w:r>
      <w:proofErr w:type="gramStart"/>
      <w:r w:rsidR="008D0B8E" w:rsidRPr="00B32568">
        <w:rPr>
          <w:rFonts w:ascii="Times New Roman" w:hAnsi="Times New Roman" w:cs="Times New Roman"/>
          <w:i/>
          <w:sz w:val="24"/>
          <w:szCs w:val="24"/>
        </w:rPr>
        <w:t>These proceedings</w:t>
      </w:r>
      <w:r w:rsidRPr="00B32568">
        <w:rPr>
          <w:rFonts w:ascii="Times New Roman" w:hAnsi="Times New Roman" w:cs="Times New Roman"/>
          <w:i/>
          <w:sz w:val="24"/>
          <w:szCs w:val="24"/>
        </w:rPr>
        <w:t xml:space="preserve"> differ from the law of the continental Europe countries and is</w:t>
      </w:r>
      <w:proofErr w:type="gramEnd"/>
      <w:r w:rsidRPr="00B32568">
        <w:rPr>
          <w:rFonts w:ascii="Times New Roman" w:hAnsi="Times New Roman" w:cs="Times New Roman"/>
          <w:i/>
          <w:sz w:val="24"/>
          <w:szCs w:val="24"/>
        </w:rPr>
        <w:t xml:space="preserve"> characterized by archaisms and continuity, original common law (judicial) character, and the absence of major codifications. In this context, the paper analyzes the meaning of common law and equity law, and procedural criteria for the categorization of criminal offenses. Regarding the issue of rules and procedures for establishment of the facts, the authors pay special attention to the consideration of determining the factual background of the dispute, the burden of proof and procedural rules on the presentation of evidence. Clearly emphasizing the different classifications of evidence that can be presented before the court, the authors point out that English law treats all hearings in the same way, i.e. it also brings the testimonies of the defendant and the expert under the witness examination regime. Starting from the fact that an important feature of legal principles is that in English law there is an obligatory exclusion of illegally obtained confession of the defendant </w:t>
      </w:r>
      <w:proofErr w:type="gramStart"/>
      <w:r w:rsidRPr="00B32568">
        <w:rPr>
          <w:rFonts w:ascii="Times New Roman" w:hAnsi="Times New Roman" w:cs="Times New Roman"/>
          <w:i/>
          <w:sz w:val="24"/>
          <w:szCs w:val="24"/>
        </w:rPr>
        <w:t>from</w:t>
      </w:r>
      <w:proofErr w:type="gramEnd"/>
      <w:r w:rsidRPr="00B32568">
        <w:rPr>
          <w:rFonts w:ascii="Times New Roman" w:hAnsi="Times New Roman" w:cs="Times New Roman"/>
          <w:i/>
          <w:sz w:val="24"/>
          <w:szCs w:val="24"/>
        </w:rPr>
        <w:t xml:space="preserve"> the evidence, it is concluded that the exclusion rule is essentially a relatively exclusive rule with a large discretion assessment of the judge. In conclusion, the authors assess that the entire evidentiary procedure, types of evidence, the manner of their collection, presentation and evaluation in English law, to a greater or lesser extent, differs from the continental criminal proceedings.</w:t>
      </w:r>
    </w:p>
    <w:p w:rsidR="00D37587" w:rsidRDefault="00D37587" w:rsidP="00EE4634">
      <w:pPr>
        <w:spacing w:after="0" w:line="240" w:lineRule="auto"/>
        <w:jc w:val="both"/>
        <w:rPr>
          <w:rFonts w:ascii="Times New Roman" w:hAnsi="Times New Roman" w:cs="Times New Roman"/>
          <w:b/>
          <w:i/>
          <w:sz w:val="24"/>
          <w:szCs w:val="24"/>
        </w:rPr>
      </w:pPr>
    </w:p>
    <w:p w:rsidR="00C7221D" w:rsidRPr="00B32568" w:rsidRDefault="00C7221D" w:rsidP="00EE4634">
      <w:pPr>
        <w:spacing w:after="0" w:line="240" w:lineRule="auto"/>
        <w:jc w:val="both"/>
        <w:rPr>
          <w:rFonts w:ascii="Times New Roman" w:hAnsi="Times New Roman" w:cs="Times New Roman"/>
          <w:i/>
          <w:sz w:val="24"/>
          <w:szCs w:val="24"/>
        </w:rPr>
      </w:pPr>
      <w:r w:rsidRPr="00B32568">
        <w:rPr>
          <w:rFonts w:ascii="Times New Roman" w:hAnsi="Times New Roman" w:cs="Times New Roman"/>
          <w:b/>
          <w:i/>
          <w:sz w:val="24"/>
          <w:szCs w:val="24"/>
        </w:rPr>
        <w:t>Key words</w:t>
      </w:r>
      <w:r w:rsidRPr="00B32568">
        <w:rPr>
          <w:rFonts w:ascii="Times New Roman" w:hAnsi="Times New Roman" w:cs="Times New Roman"/>
          <w:i/>
          <w:sz w:val="24"/>
          <w:szCs w:val="24"/>
        </w:rPr>
        <w:t xml:space="preserve">: criminal proceedings, England, evidence, </w:t>
      </w:r>
      <w:r w:rsidR="008D0B8E" w:rsidRPr="00B32568">
        <w:rPr>
          <w:rFonts w:ascii="Times New Roman" w:hAnsi="Times New Roman" w:cs="Times New Roman"/>
          <w:i/>
          <w:sz w:val="24"/>
          <w:szCs w:val="24"/>
        </w:rPr>
        <w:t>adversarial</w:t>
      </w:r>
      <w:r w:rsidRPr="00B32568">
        <w:rPr>
          <w:rFonts w:ascii="Times New Roman" w:hAnsi="Times New Roman" w:cs="Times New Roman"/>
          <w:i/>
          <w:sz w:val="24"/>
          <w:szCs w:val="24"/>
        </w:rPr>
        <w:t xml:space="preserve"> proceedings, common law, burden of proof, assessment of evidence. </w:t>
      </w:r>
    </w:p>
    <w:p w:rsidR="00F9654F" w:rsidRPr="00B32568" w:rsidRDefault="00F9654F" w:rsidP="00EE4634">
      <w:pPr>
        <w:spacing w:after="0" w:line="240" w:lineRule="auto"/>
        <w:ind w:firstLine="720"/>
        <w:jc w:val="both"/>
        <w:rPr>
          <w:i/>
        </w:rPr>
      </w:pPr>
    </w:p>
    <w:p w:rsidR="00025ADF" w:rsidRPr="00B32568" w:rsidRDefault="000E3C7A" w:rsidP="00EE4634">
      <w:pPr>
        <w:pStyle w:val="ListParagraph"/>
        <w:keepNext/>
        <w:keepLines/>
        <w:numPr>
          <w:ilvl w:val="0"/>
          <w:numId w:val="28"/>
        </w:numPr>
        <w:spacing w:before="40" w:after="0" w:line="240" w:lineRule="auto"/>
        <w:jc w:val="center"/>
        <w:outlineLvl w:val="1"/>
        <w:rPr>
          <w:rFonts w:ascii="Times New Roman" w:eastAsiaTheme="majorEastAsia" w:hAnsi="Times New Roman" w:cstheme="majorBidi"/>
          <w:sz w:val="24"/>
          <w:szCs w:val="26"/>
        </w:rPr>
      </w:pPr>
      <w:bookmarkStart w:id="1" w:name="_Toc30112782"/>
      <w:r w:rsidRPr="00B32568">
        <w:rPr>
          <w:rFonts w:ascii="Times New Roman" w:eastAsiaTheme="majorEastAsia" w:hAnsi="Times New Roman" w:cstheme="majorBidi"/>
          <w:sz w:val="24"/>
          <w:szCs w:val="26"/>
        </w:rPr>
        <w:t xml:space="preserve">TYPE OF PROCEEDINGS, FORMALISM, ARCHAISM </w:t>
      </w:r>
      <w:bookmarkEnd w:id="1"/>
    </w:p>
    <w:p w:rsidR="00025ADF" w:rsidRPr="00B32568" w:rsidRDefault="00025ADF" w:rsidP="00EE4634">
      <w:pPr>
        <w:spacing w:after="0" w:line="240" w:lineRule="auto"/>
        <w:rPr>
          <w:rFonts w:ascii="Times New Roman" w:hAnsi="Times New Roman"/>
          <w:b/>
          <w:sz w:val="24"/>
        </w:rPr>
      </w:pPr>
    </w:p>
    <w:p w:rsidR="000E3C7A" w:rsidRPr="00B32568" w:rsidRDefault="008D0B8E" w:rsidP="00EE4634">
      <w:pPr>
        <w:spacing w:after="0" w:line="240" w:lineRule="auto"/>
        <w:ind w:firstLine="708"/>
        <w:jc w:val="both"/>
        <w:rPr>
          <w:rFonts w:ascii="Times New Roman" w:hAnsi="Times New Roman"/>
          <w:sz w:val="24"/>
        </w:rPr>
      </w:pPr>
      <w:r w:rsidRPr="00B32568">
        <w:rPr>
          <w:rFonts w:ascii="Times New Roman" w:hAnsi="Times New Roman"/>
          <w:sz w:val="24"/>
        </w:rPr>
        <w:t>The English criminal proceedings</w:t>
      </w:r>
      <w:r w:rsidR="000E3C7A" w:rsidRPr="00B32568">
        <w:rPr>
          <w:rFonts w:ascii="Times New Roman" w:hAnsi="Times New Roman"/>
          <w:sz w:val="24"/>
        </w:rPr>
        <w:t xml:space="preserve"> </w:t>
      </w:r>
      <w:r w:rsidRPr="00B32568">
        <w:rPr>
          <w:rFonts w:ascii="Times New Roman" w:hAnsi="Times New Roman"/>
          <w:sz w:val="24"/>
        </w:rPr>
        <w:t xml:space="preserve">are </w:t>
      </w:r>
      <w:r w:rsidR="000E3C7A" w:rsidRPr="00B32568">
        <w:rPr>
          <w:rFonts w:ascii="Times New Roman" w:hAnsi="Times New Roman"/>
          <w:sz w:val="24"/>
        </w:rPr>
        <w:t xml:space="preserve">the so-called pure adversarial proceedings, constructed in the form of a dispute between the two parties before a neutral and impartial </w:t>
      </w:r>
      <w:r w:rsidR="000E3C7A" w:rsidRPr="00B32568">
        <w:rPr>
          <w:rFonts w:ascii="Times New Roman" w:hAnsi="Times New Roman"/>
          <w:sz w:val="24"/>
        </w:rPr>
        <w:lastRenderedPageBreak/>
        <w:t>tribunal, which must settle that dispute.</w:t>
      </w:r>
      <w:r w:rsidRPr="00B32568">
        <w:rPr>
          <w:rFonts w:ascii="Times New Roman" w:hAnsi="Times New Roman"/>
          <w:sz w:val="24"/>
          <w:vertAlign w:val="superscript"/>
        </w:rPr>
        <w:footnoteReference w:id="3"/>
      </w:r>
      <w:r w:rsidR="000E3C7A" w:rsidRPr="00B32568">
        <w:rPr>
          <w:rFonts w:ascii="Times New Roman" w:hAnsi="Times New Roman"/>
          <w:sz w:val="24"/>
        </w:rPr>
        <w:t xml:space="preserve"> Formalism</w:t>
      </w:r>
      <w:r w:rsidRPr="00B32568">
        <w:rPr>
          <w:rFonts w:ascii="Times New Roman" w:hAnsi="Times New Roman"/>
          <w:sz w:val="24"/>
          <w:vertAlign w:val="superscript"/>
        </w:rPr>
        <w:footnoteReference w:id="4"/>
      </w:r>
      <w:r w:rsidR="000E3C7A" w:rsidRPr="00B32568">
        <w:rPr>
          <w:rFonts w:ascii="Times New Roman" w:hAnsi="Times New Roman"/>
          <w:sz w:val="24"/>
        </w:rPr>
        <w:t xml:space="preserve"> and archais</w:t>
      </w:r>
      <w:r w:rsidRPr="00B32568">
        <w:rPr>
          <w:rFonts w:ascii="Times New Roman" w:hAnsi="Times New Roman"/>
          <w:sz w:val="24"/>
        </w:rPr>
        <w:t>m</w:t>
      </w:r>
      <w:r w:rsidR="000E3C7A" w:rsidRPr="00B32568">
        <w:rPr>
          <w:rFonts w:ascii="Times New Roman" w:hAnsi="Times New Roman"/>
          <w:sz w:val="24"/>
        </w:rPr>
        <w:t xml:space="preserve"> are the qualities that are </w:t>
      </w:r>
      <w:r w:rsidR="000E3C7A" w:rsidRPr="00B32568">
        <w:rPr>
          <w:rFonts w:ascii="Times New Roman" w:hAnsi="Times New Roman"/>
          <w:i/>
          <w:sz w:val="24"/>
        </w:rPr>
        <w:t>a priori</w:t>
      </w:r>
      <w:r w:rsidR="000E3C7A" w:rsidRPr="00B32568">
        <w:rPr>
          <w:rFonts w:ascii="Times New Roman" w:hAnsi="Times New Roman"/>
          <w:sz w:val="24"/>
        </w:rPr>
        <w:t xml:space="preserve"> assigned to it.</w:t>
      </w:r>
    </w:p>
    <w:p w:rsidR="000E3C7A" w:rsidRPr="00B32568" w:rsidRDefault="000E3C7A" w:rsidP="00EE4634">
      <w:pPr>
        <w:spacing w:after="0" w:line="240" w:lineRule="auto"/>
        <w:ind w:firstLine="708"/>
        <w:jc w:val="both"/>
        <w:rPr>
          <w:rFonts w:ascii="Times New Roman" w:hAnsi="Times New Roman"/>
          <w:sz w:val="24"/>
        </w:rPr>
      </w:pPr>
      <w:r w:rsidRPr="00B32568">
        <w:rPr>
          <w:rFonts w:ascii="Times New Roman" w:hAnsi="Times New Roman"/>
          <w:sz w:val="24"/>
        </w:rPr>
        <w:t>What marked the development of English law</w:t>
      </w:r>
      <w:r w:rsidR="008D0B8E" w:rsidRPr="00B32568">
        <w:rPr>
          <w:rFonts w:ascii="Times New Roman" w:hAnsi="Times New Roman"/>
          <w:sz w:val="24"/>
          <w:vertAlign w:val="superscript"/>
        </w:rPr>
        <w:footnoteReference w:id="5"/>
      </w:r>
      <w:r w:rsidRPr="00B32568">
        <w:rPr>
          <w:rFonts w:ascii="Times New Roman" w:hAnsi="Times New Roman"/>
          <w:sz w:val="24"/>
        </w:rPr>
        <w:t xml:space="preserve"> was the intertwining and opposition of the norms of German, Roman</w:t>
      </w:r>
      <w:r w:rsidR="008D0B8E" w:rsidRPr="00B32568">
        <w:rPr>
          <w:rFonts w:ascii="Times New Roman" w:hAnsi="Times New Roman"/>
          <w:sz w:val="24"/>
          <w:vertAlign w:val="superscript"/>
        </w:rPr>
        <w:footnoteReference w:id="6"/>
      </w:r>
      <w:r w:rsidRPr="00B32568">
        <w:rPr>
          <w:rFonts w:ascii="Times New Roman" w:hAnsi="Times New Roman"/>
          <w:sz w:val="24"/>
        </w:rPr>
        <w:t>, canonical and Danish law, and the law that emerged in practice through the unification of the royal courts. Its basic features, which distinguish it from the law of the continental Europe</w:t>
      </w:r>
      <w:r w:rsidR="008D0B8E" w:rsidRPr="00B32568">
        <w:rPr>
          <w:rFonts w:ascii="Times New Roman" w:hAnsi="Times New Roman"/>
          <w:sz w:val="24"/>
        </w:rPr>
        <w:t xml:space="preserve"> countries, are archaism</w:t>
      </w:r>
      <w:r w:rsidRPr="00B32568">
        <w:rPr>
          <w:rFonts w:ascii="Times New Roman" w:hAnsi="Times New Roman"/>
          <w:sz w:val="24"/>
        </w:rPr>
        <w:t xml:space="preserve"> and continuity, originally customary (judicial) character, absence of large codifications, and small influence of Roman law.</w:t>
      </w:r>
      <w:r w:rsidR="008D0B8E" w:rsidRPr="00B32568">
        <w:rPr>
          <w:rFonts w:ascii="Times New Roman" w:hAnsi="Times New Roman"/>
          <w:sz w:val="24"/>
          <w:vertAlign w:val="superscript"/>
        </w:rPr>
        <w:footnoteReference w:id="7"/>
      </w:r>
    </w:p>
    <w:p w:rsidR="000E3C7A" w:rsidRPr="00B32568" w:rsidRDefault="000E3C7A" w:rsidP="00EE4634">
      <w:pPr>
        <w:spacing w:after="0" w:line="240" w:lineRule="auto"/>
        <w:ind w:firstLine="708"/>
        <w:jc w:val="both"/>
        <w:rPr>
          <w:rFonts w:ascii="Times New Roman" w:hAnsi="Times New Roman"/>
          <w:sz w:val="24"/>
        </w:rPr>
      </w:pPr>
      <w:r w:rsidRPr="00B32568">
        <w:rPr>
          <w:rFonts w:ascii="Times New Roman" w:hAnsi="Times New Roman"/>
          <w:sz w:val="24"/>
        </w:rPr>
        <w:t xml:space="preserve">An important characteristic of English law is that it does not recognize the termination of </w:t>
      </w:r>
      <w:r w:rsidR="00FB445C" w:rsidRPr="00B32568">
        <w:rPr>
          <w:rFonts w:ascii="Times New Roman" w:hAnsi="Times New Roman"/>
          <w:sz w:val="24"/>
        </w:rPr>
        <w:t xml:space="preserve">application of </w:t>
      </w:r>
      <w:r w:rsidRPr="00B32568">
        <w:rPr>
          <w:rFonts w:ascii="Times New Roman" w:hAnsi="Times New Roman"/>
          <w:sz w:val="24"/>
        </w:rPr>
        <w:t>a legal norm by long-term non-application in practice (</w:t>
      </w:r>
      <w:proofErr w:type="spellStart"/>
      <w:r w:rsidRPr="00B32568">
        <w:rPr>
          <w:rFonts w:ascii="Times New Roman" w:hAnsi="Times New Roman"/>
          <w:sz w:val="24"/>
        </w:rPr>
        <w:t>d</w:t>
      </w:r>
      <w:r w:rsidRPr="00B32568">
        <w:rPr>
          <w:rFonts w:ascii="Times New Roman" w:hAnsi="Times New Roman"/>
          <w:i/>
          <w:sz w:val="24"/>
        </w:rPr>
        <w:t>esuetudine</w:t>
      </w:r>
      <w:proofErr w:type="spellEnd"/>
      <w:r w:rsidRPr="00B32568">
        <w:rPr>
          <w:rFonts w:ascii="Times New Roman" w:hAnsi="Times New Roman"/>
          <w:i/>
          <w:sz w:val="24"/>
        </w:rPr>
        <w:t>, disuse</w:t>
      </w:r>
      <w:r w:rsidRPr="00B32568">
        <w:rPr>
          <w:rFonts w:ascii="Times New Roman" w:hAnsi="Times New Roman"/>
          <w:sz w:val="24"/>
        </w:rPr>
        <w:t>). Modern English law is less characterized by traditionalism, but it is definitely one of the elements of the English legal mentality.</w:t>
      </w:r>
    </w:p>
    <w:p w:rsidR="00025ADF" w:rsidRPr="00B32568" w:rsidRDefault="00025ADF" w:rsidP="00EE4634">
      <w:pPr>
        <w:spacing w:after="0" w:line="240" w:lineRule="auto"/>
        <w:rPr>
          <w:rFonts w:ascii="Times New Roman" w:hAnsi="Times New Roman"/>
          <w:b/>
          <w:sz w:val="24"/>
        </w:rPr>
      </w:pPr>
    </w:p>
    <w:p w:rsidR="00025ADF" w:rsidRPr="00B32568" w:rsidRDefault="0016608D" w:rsidP="00EE4634">
      <w:pPr>
        <w:keepNext/>
        <w:keepLines/>
        <w:spacing w:before="40" w:after="0" w:line="240" w:lineRule="auto"/>
        <w:jc w:val="center"/>
        <w:outlineLvl w:val="1"/>
        <w:rPr>
          <w:rFonts w:ascii="Times New Roman" w:eastAsiaTheme="majorEastAsia" w:hAnsi="Times New Roman" w:cstheme="majorBidi"/>
          <w:sz w:val="24"/>
          <w:szCs w:val="26"/>
        </w:rPr>
      </w:pPr>
      <w:bookmarkStart w:id="2" w:name="_Toc30112783"/>
      <w:r w:rsidRPr="00B32568">
        <w:rPr>
          <w:rFonts w:ascii="Times New Roman" w:eastAsiaTheme="majorEastAsia" w:hAnsi="Times New Roman" w:cstheme="majorBidi"/>
          <w:sz w:val="24"/>
          <w:szCs w:val="26"/>
        </w:rPr>
        <w:t xml:space="preserve">2. </w:t>
      </w:r>
      <w:r w:rsidR="00FB445C" w:rsidRPr="00B32568">
        <w:rPr>
          <w:rFonts w:ascii="Times New Roman" w:eastAsiaTheme="majorEastAsia" w:hAnsi="Times New Roman" w:cstheme="majorBidi"/>
          <w:sz w:val="24"/>
          <w:szCs w:val="26"/>
        </w:rPr>
        <w:t xml:space="preserve">RELATIONSHIP BETWEEN PROCEDURAL AND SUBSTANTIVE LAW </w:t>
      </w:r>
      <w:bookmarkEnd w:id="2"/>
    </w:p>
    <w:p w:rsidR="00025ADF" w:rsidRPr="00B32568" w:rsidRDefault="00025ADF" w:rsidP="00EE4634">
      <w:pPr>
        <w:spacing w:after="0" w:line="240" w:lineRule="auto"/>
        <w:rPr>
          <w:rFonts w:ascii="Times New Roman" w:hAnsi="Times New Roman"/>
          <w:b/>
          <w:sz w:val="24"/>
        </w:rPr>
      </w:pPr>
    </w:p>
    <w:p w:rsidR="00FB445C" w:rsidRPr="00B32568" w:rsidRDefault="00FB445C" w:rsidP="00EE4634">
      <w:pPr>
        <w:spacing w:after="0" w:line="240" w:lineRule="auto"/>
        <w:ind w:firstLine="708"/>
        <w:jc w:val="both"/>
        <w:rPr>
          <w:rFonts w:ascii="Times New Roman" w:hAnsi="Times New Roman"/>
          <w:sz w:val="24"/>
        </w:rPr>
      </w:pPr>
      <w:r w:rsidRPr="00B32568">
        <w:rPr>
          <w:rFonts w:ascii="Times New Roman" w:hAnsi="Times New Roman"/>
          <w:sz w:val="24"/>
        </w:rPr>
        <w:t>Unlike the continental legal system where there is traditionally a separation of substantive (material) and procedural law, which is mostly separated in the regulations themselves, substantive and procedural law are mostly intertwined in English law. The reasons can be found in the historical development of the English legal system. In a significant part of the English legal system, especially from the aspect of a continental lawyer, the real decision-makers in the English judicial apparatus were lay people - either justices of the peace or jurors.</w:t>
      </w:r>
      <w:r w:rsidRPr="00B32568">
        <w:rPr>
          <w:rFonts w:ascii="Times New Roman" w:hAnsi="Times New Roman"/>
          <w:sz w:val="24"/>
          <w:vertAlign w:val="superscript"/>
        </w:rPr>
        <w:footnoteReference w:id="8"/>
      </w:r>
      <w:r w:rsidRPr="00B32568">
        <w:rPr>
          <w:rFonts w:ascii="Times New Roman" w:hAnsi="Times New Roman"/>
          <w:sz w:val="24"/>
        </w:rPr>
        <w:t xml:space="preserve"> Because extremely important powers were entrusted to the lay people, the English judicial apparatus failed to develop a number of characteristics related to bureaucratic power structures. It was not until the second half of the 19th century that professional civil service experienced a rise. </w:t>
      </w:r>
      <w:r w:rsidR="00B32568">
        <w:rPr>
          <w:rFonts w:ascii="Times New Roman" w:hAnsi="Times New Roman"/>
          <w:sz w:val="24"/>
        </w:rPr>
        <w:t>In addition, t</w:t>
      </w:r>
      <w:r w:rsidRPr="00B32568">
        <w:rPr>
          <w:rFonts w:ascii="Times New Roman" w:hAnsi="Times New Roman"/>
          <w:sz w:val="24"/>
        </w:rPr>
        <w:t>his is one of the explanations why there is no clear differentiation between substantive and procedural law.</w:t>
      </w:r>
    </w:p>
    <w:p w:rsidR="001B336F" w:rsidRPr="00B32568" w:rsidRDefault="001B336F" w:rsidP="00EE4634">
      <w:pPr>
        <w:spacing w:after="0" w:line="240" w:lineRule="auto"/>
        <w:ind w:firstLine="708"/>
        <w:jc w:val="both"/>
        <w:rPr>
          <w:rFonts w:ascii="Times New Roman" w:hAnsi="Times New Roman"/>
          <w:sz w:val="24"/>
        </w:rPr>
      </w:pPr>
      <w:r w:rsidRPr="00B32568">
        <w:rPr>
          <w:rFonts w:ascii="Times New Roman" w:hAnsi="Times New Roman"/>
          <w:sz w:val="24"/>
        </w:rPr>
        <w:t xml:space="preserve">The English legal system is generally a mixture of three historical layers of legal norms that have been formed over the centuries in court practice: the system </w:t>
      </w:r>
      <w:r w:rsidR="00372D5F" w:rsidRPr="00B32568">
        <w:rPr>
          <w:rFonts w:ascii="Times New Roman" w:hAnsi="Times New Roman"/>
          <w:sz w:val="24"/>
        </w:rPr>
        <w:t xml:space="preserve">of so-called </w:t>
      </w:r>
      <w:r w:rsidRPr="00B32568">
        <w:rPr>
          <w:rFonts w:ascii="Times New Roman" w:hAnsi="Times New Roman"/>
          <w:sz w:val="24"/>
        </w:rPr>
        <w:t xml:space="preserve">common law, equity law, and </w:t>
      </w:r>
      <w:r w:rsidR="00B32568" w:rsidRPr="00B32568">
        <w:rPr>
          <w:rFonts w:ascii="Times New Roman" w:hAnsi="Times New Roman"/>
          <w:sz w:val="24"/>
        </w:rPr>
        <w:t>admiralty</w:t>
      </w:r>
      <w:r w:rsidR="00372D5F" w:rsidRPr="00B32568">
        <w:rPr>
          <w:rFonts w:ascii="Times New Roman" w:hAnsi="Times New Roman"/>
          <w:sz w:val="24"/>
        </w:rPr>
        <w:t xml:space="preserve">, mercantile </w:t>
      </w:r>
      <w:r w:rsidRPr="00B32568">
        <w:rPr>
          <w:rFonts w:ascii="Times New Roman" w:hAnsi="Times New Roman"/>
          <w:sz w:val="24"/>
        </w:rPr>
        <w:t>and ecclesiastical law.</w:t>
      </w:r>
      <w:r w:rsidR="00372D5F" w:rsidRPr="00B32568">
        <w:rPr>
          <w:rFonts w:ascii="Times New Roman" w:hAnsi="Times New Roman"/>
          <w:sz w:val="24"/>
          <w:vertAlign w:val="superscript"/>
        </w:rPr>
        <w:footnoteReference w:id="9"/>
      </w:r>
      <w:r w:rsidRPr="00B32568">
        <w:rPr>
          <w:rFonts w:ascii="Times New Roman" w:hAnsi="Times New Roman"/>
          <w:sz w:val="24"/>
        </w:rPr>
        <w:t xml:space="preserve"> Although formally this division no longer exists, its consequences are still felt today in legal terminology, principles and procedures.</w:t>
      </w:r>
    </w:p>
    <w:p w:rsidR="00025ADF" w:rsidRPr="00B32568" w:rsidRDefault="00025ADF" w:rsidP="00EE4634">
      <w:pPr>
        <w:spacing w:after="0" w:line="240" w:lineRule="auto"/>
        <w:jc w:val="both"/>
        <w:rPr>
          <w:rFonts w:ascii="Times New Roman" w:hAnsi="Times New Roman"/>
          <w:i/>
          <w:sz w:val="24"/>
          <w:szCs w:val="24"/>
        </w:rPr>
      </w:pPr>
    </w:p>
    <w:p w:rsidR="00025ADF" w:rsidRPr="00B32568" w:rsidRDefault="00C94676" w:rsidP="00EE4634">
      <w:pPr>
        <w:keepNext/>
        <w:keepLines/>
        <w:spacing w:before="40" w:after="0" w:line="240" w:lineRule="auto"/>
        <w:jc w:val="center"/>
        <w:outlineLvl w:val="3"/>
        <w:rPr>
          <w:rFonts w:ascii="Times New Roman" w:eastAsiaTheme="majorEastAsia" w:hAnsi="Times New Roman" w:cstheme="majorBidi"/>
          <w:i/>
          <w:iCs/>
          <w:sz w:val="24"/>
          <w:szCs w:val="24"/>
        </w:rPr>
      </w:pPr>
      <w:bookmarkStart w:id="3" w:name="_Toc30112784"/>
      <w:r w:rsidRPr="00B32568">
        <w:rPr>
          <w:rFonts w:ascii="Times New Roman" w:eastAsiaTheme="majorEastAsia" w:hAnsi="Times New Roman" w:cstheme="majorBidi"/>
          <w:iCs/>
          <w:sz w:val="24"/>
          <w:szCs w:val="24"/>
        </w:rPr>
        <w:t>2.</w:t>
      </w:r>
      <w:r w:rsidR="00025ADF" w:rsidRPr="00B32568">
        <w:rPr>
          <w:rFonts w:ascii="Times New Roman" w:eastAsiaTheme="majorEastAsia" w:hAnsi="Times New Roman" w:cstheme="majorBidi"/>
          <w:iCs/>
          <w:sz w:val="24"/>
          <w:szCs w:val="24"/>
        </w:rPr>
        <w:t>1. Common law</w:t>
      </w:r>
      <w:bookmarkEnd w:id="3"/>
    </w:p>
    <w:p w:rsidR="00025ADF" w:rsidRPr="00B32568" w:rsidRDefault="00025ADF" w:rsidP="00EE4634">
      <w:pPr>
        <w:spacing w:after="0" w:line="240" w:lineRule="auto"/>
        <w:ind w:left="708" w:firstLine="708"/>
        <w:rPr>
          <w:rFonts w:ascii="Times New Roman" w:hAnsi="Times New Roman"/>
          <w:b/>
          <w:sz w:val="24"/>
        </w:rPr>
      </w:pPr>
    </w:p>
    <w:p w:rsidR="001F3843" w:rsidRPr="00B32568" w:rsidRDefault="001F3843" w:rsidP="00EE4634">
      <w:pPr>
        <w:spacing w:after="0" w:line="240" w:lineRule="auto"/>
        <w:ind w:firstLine="708"/>
        <w:jc w:val="both"/>
        <w:rPr>
          <w:rFonts w:ascii="Times New Roman" w:hAnsi="Times New Roman"/>
          <w:sz w:val="24"/>
        </w:rPr>
      </w:pPr>
      <w:r w:rsidRPr="00B32568">
        <w:rPr>
          <w:rFonts w:ascii="Times New Roman" w:hAnsi="Times New Roman"/>
          <w:sz w:val="24"/>
        </w:rPr>
        <w:t xml:space="preserve">Common law is a term that has several meanings. First, in the time of Edward I (1239-1307), it was used as a designation for a right that was common to all of England, modeled on </w:t>
      </w:r>
      <w:r w:rsidRPr="00B32568">
        <w:rPr>
          <w:rFonts w:ascii="Times New Roman" w:hAnsi="Times New Roman"/>
          <w:sz w:val="24"/>
        </w:rPr>
        <w:lastRenderedPageBreak/>
        <w:t xml:space="preserve">canon law, which was </w:t>
      </w:r>
      <w:proofErr w:type="spellStart"/>
      <w:r w:rsidRPr="00B32568">
        <w:rPr>
          <w:rFonts w:ascii="Times New Roman" w:hAnsi="Times New Roman"/>
          <w:i/>
          <w:sz w:val="24"/>
        </w:rPr>
        <w:t>ius</w:t>
      </w:r>
      <w:proofErr w:type="spellEnd"/>
      <w:r w:rsidRPr="00B32568">
        <w:rPr>
          <w:rFonts w:ascii="Times New Roman" w:hAnsi="Times New Roman"/>
          <w:i/>
          <w:sz w:val="24"/>
        </w:rPr>
        <w:t xml:space="preserve"> commune</w:t>
      </w:r>
      <w:r w:rsidR="00372D5F" w:rsidRPr="00B32568">
        <w:rPr>
          <w:rFonts w:ascii="Times New Roman" w:hAnsi="Times New Roman"/>
          <w:sz w:val="24"/>
          <w:vertAlign w:val="superscript"/>
        </w:rPr>
        <w:footnoteReference w:id="10"/>
      </w:r>
      <w:r w:rsidRPr="00B32568">
        <w:rPr>
          <w:rFonts w:ascii="Times New Roman" w:hAnsi="Times New Roman"/>
          <w:sz w:val="24"/>
        </w:rPr>
        <w:t xml:space="preserve"> for the whole community. It generally owes its origin to the practice of royal courts in the 12th century.</w:t>
      </w:r>
      <w:r w:rsidR="00372D5F" w:rsidRPr="00B32568">
        <w:rPr>
          <w:rFonts w:ascii="Times New Roman" w:hAnsi="Times New Roman"/>
          <w:sz w:val="24"/>
          <w:vertAlign w:val="superscript"/>
        </w:rPr>
        <w:t xml:space="preserve"> </w:t>
      </w:r>
      <w:r w:rsidR="00372D5F" w:rsidRPr="00B32568">
        <w:rPr>
          <w:rFonts w:ascii="Times New Roman" w:hAnsi="Times New Roman"/>
          <w:sz w:val="24"/>
          <w:vertAlign w:val="superscript"/>
        </w:rPr>
        <w:footnoteReference w:id="11"/>
      </w:r>
      <w:r w:rsidRPr="00B32568">
        <w:rPr>
          <w:rFonts w:ascii="Times New Roman" w:hAnsi="Times New Roman"/>
          <w:sz w:val="24"/>
        </w:rPr>
        <w:t xml:space="preserve"> Later, it usually meant a part of English law not passed by </w:t>
      </w:r>
      <w:r w:rsidR="00372D5F" w:rsidRPr="00B32568">
        <w:rPr>
          <w:rFonts w:ascii="Times New Roman" w:hAnsi="Times New Roman"/>
          <w:sz w:val="24"/>
        </w:rPr>
        <w:t xml:space="preserve">the </w:t>
      </w:r>
      <w:r w:rsidRPr="00B32568">
        <w:rPr>
          <w:rFonts w:ascii="Times New Roman" w:hAnsi="Times New Roman"/>
          <w:sz w:val="24"/>
        </w:rPr>
        <w:t xml:space="preserve">Parliament and which, due to the legislative supremacy of </w:t>
      </w:r>
      <w:r w:rsidR="00372D5F" w:rsidRPr="00B32568">
        <w:rPr>
          <w:rFonts w:ascii="Times New Roman" w:hAnsi="Times New Roman"/>
          <w:sz w:val="24"/>
        </w:rPr>
        <w:t xml:space="preserve">the </w:t>
      </w:r>
      <w:r w:rsidRPr="00B32568">
        <w:rPr>
          <w:rFonts w:ascii="Times New Roman" w:hAnsi="Times New Roman"/>
          <w:sz w:val="24"/>
        </w:rPr>
        <w:t>Parliament, was of a lower rank than the law.</w:t>
      </w:r>
    </w:p>
    <w:p w:rsidR="001F3843" w:rsidRPr="00B32568" w:rsidRDefault="001F3843" w:rsidP="00EE4634">
      <w:pPr>
        <w:spacing w:after="0" w:line="240" w:lineRule="auto"/>
        <w:ind w:firstLine="708"/>
        <w:jc w:val="both"/>
        <w:rPr>
          <w:rFonts w:ascii="Times New Roman" w:hAnsi="Times New Roman"/>
          <w:sz w:val="24"/>
        </w:rPr>
      </w:pPr>
      <w:r w:rsidRPr="00B32568">
        <w:rPr>
          <w:rFonts w:ascii="Times New Roman" w:hAnsi="Times New Roman"/>
          <w:sz w:val="24"/>
        </w:rPr>
        <w:t xml:space="preserve">Common law is mostly uncodified. This means that there is no comprehensive compilation of legal rules. Although </w:t>
      </w:r>
      <w:r w:rsidR="00372D5F" w:rsidRPr="00B32568">
        <w:rPr>
          <w:rFonts w:ascii="Times New Roman" w:hAnsi="Times New Roman"/>
          <w:sz w:val="24"/>
        </w:rPr>
        <w:t xml:space="preserve">the </w:t>
      </w:r>
      <w:r w:rsidRPr="00B32568">
        <w:rPr>
          <w:rFonts w:ascii="Times New Roman" w:hAnsi="Times New Roman"/>
          <w:sz w:val="24"/>
        </w:rPr>
        <w:t xml:space="preserve">common law relies on some scattered rules that are the product of legislative activity, it </w:t>
      </w:r>
      <w:r w:rsidR="00372D5F" w:rsidRPr="00B32568">
        <w:rPr>
          <w:rFonts w:ascii="Times New Roman" w:hAnsi="Times New Roman"/>
          <w:sz w:val="24"/>
        </w:rPr>
        <w:t xml:space="preserve">mostly </w:t>
      </w:r>
      <w:r w:rsidRPr="00B32568">
        <w:rPr>
          <w:rFonts w:ascii="Times New Roman" w:hAnsi="Times New Roman"/>
          <w:sz w:val="24"/>
        </w:rPr>
        <w:t>relies on precedent.</w:t>
      </w:r>
    </w:p>
    <w:p w:rsidR="00025ADF" w:rsidRPr="00B32568" w:rsidRDefault="00025ADF" w:rsidP="00EE4634">
      <w:pPr>
        <w:spacing w:after="0" w:line="240" w:lineRule="auto"/>
        <w:ind w:firstLine="708"/>
        <w:rPr>
          <w:rFonts w:ascii="Times New Roman" w:hAnsi="Times New Roman"/>
          <w:b/>
          <w:sz w:val="24"/>
        </w:rPr>
      </w:pPr>
    </w:p>
    <w:p w:rsidR="00025ADF" w:rsidRPr="00B32568" w:rsidRDefault="00CE4BA0" w:rsidP="00EE4634">
      <w:pPr>
        <w:keepNext/>
        <w:keepLines/>
        <w:spacing w:before="40" w:after="0" w:line="240" w:lineRule="auto"/>
        <w:jc w:val="center"/>
        <w:outlineLvl w:val="3"/>
        <w:rPr>
          <w:rFonts w:ascii="Times New Roman" w:eastAsiaTheme="majorEastAsia" w:hAnsi="Times New Roman" w:cstheme="majorBidi"/>
          <w:i/>
          <w:iCs/>
          <w:sz w:val="24"/>
          <w:szCs w:val="24"/>
        </w:rPr>
      </w:pPr>
      <w:bookmarkStart w:id="4" w:name="_Toc30112785"/>
      <w:r w:rsidRPr="00B32568">
        <w:rPr>
          <w:rFonts w:ascii="Times New Roman" w:eastAsiaTheme="majorEastAsia" w:hAnsi="Times New Roman" w:cstheme="majorBidi"/>
          <w:iCs/>
          <w:sz w:val="24"/>
          <w:szCs w:val="24"/>
        </w:rPr>
        <w:t>2</w:t>
      </w:r>
      <w:r w:rsidR="00C94676" w:rsidRPr="00B32568">
        <w:rPr>
          <w:rFonts w:ascii="Times New Roman" w:eastAsiaTheme="majorEastAsia" w:hAnsi="Times New Roman" w:cstheme="majorBidi"/>
          <w:iCs/>
          <w:sz w:val="24"/>
          <w:szCs w:val="24"/>
        </w:rPr>
        <w:t>.</w:t>
      </w:r>
      <w:r w:rsidR="00025ADF" w:rsidRPr="00B32568">
        <w:rPr>
          <w:rFonts w:ascii="Times New Roman" w:eastAsiaTheme="majorEastAsia" w:hAnsi="Times New Roman" w:cstheme="majorBidi"/>
          <w:iCs/>
          <w:sz w:val="24"/>
          <w:szCs w:val="24"/>
        </w:rPr>
        <w:t>2. Equity law</w:t>
      </w:r>
      <w:bookmarkEnd w:id="4"/>
    </w:p>
    <w:p w:rsidR="00025ADF" w:rsidRPr="00B32568" w:rsidRDefault="00025ADF" w:rsidP="00EE4634">
      <w:pPr>
        <w:spacing w:after="0" w:line="240" w:lineRule="auto"/>
        <w:ind w:firstLine="708"/>
        <w:rPr>
          <w:rFonts w:ascii="Times New Roman" w:hAnsi="Times New Roman"/>
          <w:b/>
          <w:sz w:val="24"/>
        </w:rPr>
      </w:pPr>
    </w:p>
    <w:p w:rsidR="001F3843" w:rsidRPr="00B32568" w:rsidRDefault="001F3843" w:rsidP="00EE4634">
      <w:pPr>
        <w:spacing w:after="0" w:line="240" w:lineRule="auto"/>
        <w:ind w:firstLine="708"/>
        <w:jc w:val="both"/>
        <w:rPr>
          <w:rFonts w:ascii="Times New Roman" w:hAnsi="Times New Roman"/>
          <w:sz w:val="24"/>
        </w:rPr>
      </w:pPr>
      <w:r w:rsidRPr="00B32568">
        <w:rPr>
          <w:rFonts w:ascii="Times New Roman" w:hAnsi="Times New Roman"/>
          <w:sz w:val="24"/>
        </w:rPr>
        <w:t>The "</w:t>
      </w:r>
      <w:r w:rsidR="004B27B0" w:rsidRPr="00B32568">
        <w:rPr>
          <w:rFonts w:ascii="Times New Roman" w:hAnsi="Times New Roman"/>
          <w:sz w:val="24"/>
        </w:rPr>
        <w:t>equity law</w:t>
      </w:r>
      <w:r w:rsidRPr="00B32568">
        <w:rPr>
          <w:rFonts w:ascii="Times New Roman" w:hAnsi="Times New Roman"/>
          <w:sz w:val="24"/>
        </w:rPr>
        <w:t>"</w:t>
      </w:r>
      <w:r w:rsidR="00774672" w:rsidRPr="00B32568">
        <w:rPr>
          <w:rFonts w:ascii="Times New Roman" w:hAnsi="Times New Roman"/>
          <w:sz w:val="24"/>
          <w:vertAlign w:val="superscript"/>
        </w:rPr>
        <w:footnoteReference w:id="12"/>
      </w:r>
      <w:r w:rsidRPr="00B32568">
        <w:rPr>
          <w:rFonts w:ascii="Times New Roman" w:hAnsi="Times New Roman"/>
          <w:sz w:val="24"/>
        </w:rPr>
        <w:t xml:space="preserve"> is a corrective to the strictness of common law. It sought to introduce a kind of flexibility into </w:t>
      </w:r>
      <w:r w:rsidR="00774672" w:rsidRPr="00B32568">
        <w:rPr>
          <w:rFonts w:ascii="Times New Roman" w:hAnsi="Times New Roman"/>
          <w:sz w:val="24"/>
        </w:rPr>
        <w:t xml:space="preserve">the </w:t>
      </w:r>
      <w:r w:rsidRPr="00B32568">
        <w:rPr>
          <w:rFonts w:ascii="Times New Roman" w:hAnsi="Times New Roman"/>
          <w:sz w:val="24"/>
        </w:rPr>
        <w:t xml:space="preserve">law, as common law was a rigid system where the documents governed the system of adjudication. Common law allowed the initiation of court proceedings before the royal court only on the basis of a certain written order of the king. The chancellery courts introduced </w:t>
      </w:r>
      <w:r w:rsidR="00774672" w:rsidRPr="00B32568">
        <w:rPr>
          <w:rFonts w:ascii="Times New Roman" w:hAnsi="Times New Roman"/>
          <w:sz w:val="24"/>
        </w:rPr>
        <w:t xml:space="preserve">equity law </w:t>
      </w:r>
      <w:r w:rsidRPr="00B32568">
        <w:rPr>
          <w:rFonts w:ascii="Times New Roman" w:hAnsi="Times New Roman"/>
          <w:sz w:val="24"/>
        </w:rPr>
        <w:t xml:space="preserve">in order to fill gaps to which </w:t>
      </w:r>
      <w:r w:rsidR="00774672" w:rsidRPr="00B32568">
        <w:rPr>
          <w:rFonts w:ascii="Times New Roman" w:hAnsi="Times New Roman"/>
          <w:sz w:val="24"/>
        </w:rPr>
        <w:t xml:space="preserve">common </w:t>
      </w:r>
      <w:r w:rsidRPr="00B32568">
        <w:rPr>
          <w:rFonts w:ascii="Times New Roman" w:hAnsi="Times New Roman"/>
          <w:sz w:val="24"/>
        </w:rPr>
        <w:t>law could not respond.</w:t>
      </w:r>
    </w:p>
    <w:p w:rsidR="00025ADF" w:rsidRDefault="00025ADF" w:rsidP="00EE4634">
      <w:pPr>
        <w:spacing w:after="0" w:line="240" w:lineRule="auto"/>
        <w:ind w:firstLine="708"/>
        <w:jc w:val="both"/>
        <w:rPr>
          <w:rFonts w:ascii="Times New Roman" w:hAnsi="Times New Roman"/>
          <w:sz w:val="24"/>
        </w:rPr>
      </w:pPr>
    </w:p>
    <w:p w:rsidR="00EA525D" w:rsidRDefault="00EA525D" w:rsidP="00EE4634">
      <w:pPr>
        <w:spacing w:after="0" w:line="240" w:lineRule="auto"/>
        <w:ind w:firstLine="708"/>
        <w:jc w:val="both"/>
        <w:rPr>
          <w:rFonts w:ascii="Times New Roman" w:hAnsi="Times New Roman"/>
          <w:sz w:val="24"/>
        </w:rPr>
      </w:pPr>
    </w:p>
    <w:p w:rsidR="00EA525D" w:rsidRPr="00B32568" w:rsidRDefault="00EA525D" w:rsidP="00EE4634">
      <w:pPr>
        <w:spacing w:after="0" w:line="240" w:lineRule="auto"/>
        <w:ind w:firstLine="708"/>
        <w:jc w:val="both"/>
        <w:rPr>
          <w:rFonts w:ascii="Times New Roman" w:hAnsi="Times New Roman"/>
          <w:sz w:val="24"/>
        </w:rPr>
      </w:pPr>
    </w:p>
    <w:p w:rsidR="00025ADF" w:rsidRPr="00B32568" w:rsidRDefault="00FD0423" w:rsidP="00EE4634">
      <w:pPr>
        <w:keepNext/>
        <w:keepLines/>
        <w:spacing w:before="40" w:after="0" w:line="240" w:lineRule="auto"/>
        <w:jc w:val="center"/>
        <w:outlineLvl w:val="3"/>
        <w:rPr>
          <w:rFonts w:ascii="Times New Roman" w:eastAsiaTheme="majorEastAsia" w:hAnsi="Times New Roman" w:cstheme="majorBidi"/>
          <w:iCs/>
          <w:sz w:val="24"/>
          <w:szCs w:val="24"/>
        </w:rPr>
      </w:pPr>
      <w:bookmarkStart w:id="5" w:name="_Toc30112786"/>
      <w:r w:rsidRPr="00B32568">
        <w:rPr>
          <w:rFonts w:ascii="Times New Roman" w:eastAsiaTheme="majorEastAsia" w:hAnsi="Times New Roman" w:cstheme="majorBidi"/>
          <w:iCs/>
          <w:sz w:val="24"/>
          <w:szCs w:val="24"/>
        </w:rPr>
        <w:t xml:space="preserve">3. </w:t>
      </w:r>
      <w:r w:rsidR="00F40906" w:rsidRPr="00B32568">
        <w:rPr>
          <w:rFonts w:ascii="Times New Roman" w:eastAsiaTheme="majorEastAsia" w:hAnsi="Times New Roman" w:cstheme="majorBidi"/>
          <w:iCs/>
          <w:sz w:val="24"/>
          <w:szCs w:val="24"/>
        </w:rPr>
        <w:t xml:space="preserve">PROCEDURAL CRITERIA FOR CATEGORIZATION OF CRIMINAL OFFENSES </w:t>
      </w:r>
      <w:bookmarkEnd w:id="5"/>
    </w:p>
    <w:p w:rsidR="00025ADF" w:rsidRPr="00B32568" w:rsidRDefault="00025ADF" w:rsidP="00EE4634">
      <w:pPr>
        <w:spacing w:after="0" w:line="240" w:lineRule="auto"/>
        <w:ind w:firstLine="708"/>
        <w:rPr>
          <w:rFonts w:ascii="Times New Roman" w:hAnsi="Times New Roman"/>
          <w:b/>
          <w:sz w:val="24"/>
        </w:rPr>
      </w:pPr>
    </w:p>
    <w:p w:rsidR="00334980" w:rsidRPr="00B32568" w:rsidRDefault="00334980" w:rsidP="00EE4634">
      <w:pPr>
        <w:spacing w:after="0" w:line="240" w:lineRule="auto"/>
        <w:ind w:firstLine="708"/>
        <w:jc w:val="both"/>
        <w:rPr>
          <w:rFonts w:ascii="Times New Roman" w:hAnsi="Times New Roman"/>
          <w:sz w:val="24"/>
        </w:rPr>
      </w:pPr>
      <w:r w:rsidRPr="00B32568">
        <w:rPr>
          <w:rFonts w:ascii="Times New Roman" w:hAnsi="Times New Roman"/>
          <w:sz w:val="24"/>
        </w:rPr>
        <w:t xml:space="preserve">What is specific </w:t>
      </w:r>
      <w:r w:rsidR="00B32568">
        <w:rPr>
          <w:rFonts w:ascii="Times New Roman" w:hAnsi="Times New Roman"/>
          <w:sz w:val="24"/>
        </w:rPr>
        <w:t>for</w:t>
      </w:r>
      <w:r w:rsidRPr="00B32568">
        <w:rPr>
          <w:rFonts w:ascii="Times New Roman" w:hAnsi="Times New Roman"/>
          <w:sz w:val="24"/>
        </w:rPr>
        <w:t xml:space="preserve"> English law and different from continental law is that procedural criteria</w:t>
      </w:r>
      <w:r w:rsidR="00B32568">
        <w:rPr>
          <w:rFonts w:ascii="Times New Roman" w:hAnsi="Times New Roman"/>
          <w:sz w:val="24"/>
        </w:rPr>
        <w:t xml:space="preserve"> alone</w:t>
      </w:r>
      <w:r w:rsidRPr="00B32568">
        <w:rPr>
          <w:rFonts w:ascii="Times New Roman" w:hAnsi="Times New Roman"/>
          <w:sz w:val="24"/>
        </w:rPr>
        <w:t xml:space="preserve"> are used to classify </w:t>
      </w:r>
      <w:r w:rsidR="00F40906" w:rsidRPr="00B32568">
        <w:rPr>
          <w:rFonts w:ascii="Times New Roman" w:hAnsi="Times New Roman"/>
          <w:sz w:val="24"/>
        </w:rPr>
        <w:t>criminal offenses</w:t>
      </w:r>
      <w:r w:rsidRPr="00B32568">
        <w:rPr>
          <w:rFonts w:ascii="Times New Roman" w:hAnsi="Times New Roman"/>
          <w:sz w:val="24"/>
        </w:rPr>
        <w:t xml:space="preserve">. Admittedly, this form of division is newer and dates from the period after World War II. Thus, criminal offenses in English law are divided into two basic groups </w:t>
      </w:r>
      <w:r w:rsidR="00F40906" w:rsidRPr="00B32568">
        <w:rPr>
          <w:rFonts w:ascii="Times New Roman" w:hAnsi="Times New Roman"/>
          <w:sz w:val="24"/>
        </w:rPr>
        <w:t>regarding</w:t>
      </w:r>
      <w:r w:rsidRPr="00B32568">
        <w:rPr>
          <w:rFonts w:ascii="Times New Roman" w:hAnsi="Times New Roman"/>
          <w:sz w:val="24"/>
        </w:rPr>
        <w:t>: a) police powers in the application of coercive measures against their perpetrators</w:t>
      </w:r>
      <w:r w:rsidR="00F40906" w:rsidRPr="00B32568">
        <w:rPr>
          <w:rFonts w:ascii="Times New Roman" w:hAnsi="Times New Roman"/>
          <w:sz w:val="24"/>
        </w:rPr>
        <w:t>,</w:t>
      </w:r>
      <w:r w:rsidRPr="00B32568">
        <w:rPr>
          <w:rFonts w:ascii="Times New Roman" w:hAnsi="Times New Roman"/>
          <w:sz w:val="24"/>
        </w:rPr>
        <w:t xml:space="preserve"> or b) the manner of trial.</w:t>
      </w:r>
      <w:r w:rsidR="00F40906" w:rsidRPr="00B32568">
        <w:rPr>
          <w:rFonts w:ascii="Times New Roman" w:hAnsi="Times New Roman"/>
          <w:sz w:val="24"/>
          <w:vertAlign w:val="superscript"/>
        </w:rPr>
        <w:t xml:space="preserve"> </w:t>
      </w:r>
      <w:r w:rsidR="00F40906" w:rsidRPr="00B32568">
        <w:rPr>
          <w:rFonts w:ascii="Times New Roman" w:hAnsi="Times New Roman"/>
          <w:sz w:val="24"/>
          <w:vertAlign w:val="superscript"/>
        </w:rPr>
        <w:footnoteReference w:id="13"/>
      </w:r>
    </w:p>
    <w:p w:rsidR="00334980" w:rsidRPr="00B32568" w:rsidRDefault="00334980" w:rsidP="00EE4634">
      <w:pPr>
        <w:spacing w:after="0" w:line="240" w:lineRule="auto"/>
        <w:ind w:firstLine="708"/>
        <w:jc w:val="both"/>
        <w:rPr>
          <w:rFonts w:ascii="Times New Roman" w:hAnsi="Times New Roman"/>
          <w:sz w:val="24"/>
        </w:rPr>
      </w:pPr>
      <w:r w:rsidRPr="00B32568">
        <w:rPr>
          <w:rFonts w:ascii="Times New Roman" w:hAnsi="Times New Roman"/>
          <w:sz w:val="24"/>
        </w:rPr>
        <w:t>The first group includes the so-called</w:t>
      </w:r>
      <w:r w:rsidR="00346A01" w:rsidRPr="00B32568">
        <w:rPr>
          <w:rFonts w:ascii="Times New Roman" w:hAnsi="Times New Roman"/>
          <w:sz w:val="24"/>
        </w:rPr>
        <w:t xml:space="preserve"> </w:t>
      </w:r>
      <w:proofErr w:type="spellStart"/>
      <w:r w:rsidR="00346A01" w:rsidRPr="00B32568">
        <w:rPr>
          <w:rFonts w:ascii="Times New Roman" w:hAnsi="Times New Roman"/>
          <w:sz w:val="24"/>
        </w:rPr>
        <w:t>arrestable</w:t>
      </w:r>
      <w:proofErr w:type="spellEnd"/>
      <w:r w:rsidR="00346A01" w:rsidRPr="00B32568">
        <w:rPr>
          <w:rFonts w:ascii="Times New Roman" w:hAnsi="Times New Roman"/>
          <w:sz w:val="24"/>
        </w:rPr>
        <w:t xml:space="preserve"> offenses</w:t>
      </w:r>
      <w:r w:rsidRPr="00B32568">
        <w:rPr>
          <w:rFonts w:ascii="Times New Roman" w:hAnsi="Times New Roman"/>
          <w:sz w:val="24"/>
        </w:rPr>
        <w:t xml:space="preserve">. </w:t>
      </w:r>
      <w:r w:rsidR="00B32568">
        <w:rPr>
          <w:rFonts w:ascii="Times New Roman" w:hAnsi="Times New Roman"/>
          <w:sz w:val="24"/>
        </w:rPr>
        <w:t>In essence, t</w:t>
      </w:r>
      <w:r w:rsidRPr="00B32568">
        <w:rPr>
          <w:rFonts w:ascii="Times New Roman" w:hAnsi="Times New Roman"/>
          <w:sz w:val="24"/>
        </w:rPr>
        <w:t>hese are criminal offenses for which police arrest is possible without a court order. In practice, these would be offenses punishable by a fixed sentence or offenses punishable by imprisonment for more than five years. This criterion has been applied since 1967.</w:t>
      </w:r>
    </w:p>
    <w:p w:rsidR="00334980" w:rsidRPr="00B32568" w:rsidRDefault="00334980" w:rsidP="00EE4634">
      <w:pPr>
        <w:spacing w:after="0" w:line="240" w:lineRule="auto"/>
        <w:ind w:firstLine="708"/>
        <w:jc w:val="both"/>
        <w:rPr>
          <w:rFonts w:ascii="Times New Roman" w:hAnsi="Times New Roman"/>
          <w:sz w:val="24"/>
        </w:rPr>
      </w:pPr>
      <w:r w:rsidRPr="00B32568">
        <w:rPr>
          <w:rFonts w:ascii="Times New Roman" w:hAnsi="Times New Roman"/>
          <w:sz w:val="24"/>
        </w:rPr>
        <w:t>Criminal offenses based on the second criterion are divided into "indictable" and "summary" offens</w:t>
      </w:r>
      <w:r w:rsidR="00067022" w:rsidRPr="00B32568">
        <w:rPr>
          <w:rFonts w:ascii="Times New Roman" w:hAnsi="Times New Roman"/>
          <w:sz w:val="24"/>
        </w:rPr>
        <w:t>es</w:t>
      </w:r>
      <w:r w:rsidRPr="00B32568">
        <w:rPr>
          <w:rFonts w:ascii="Times New Roman" w:hAnsi="Times New Roman"/>
          <w:sz w:val="24"/>
        </w:rPr>
        <w:t>. This division highlights the historical difference between trials for crim</w:t>
      </w:r>
      <w:r w:rsidR="00067022" w:rsidRPr="00B32568">
        <w:rPr>
          <w:rFonts w:ascii="Times New Roman" w:hAnsi="Times New Roman"/>
          <w:sz w:val="24"/>
        </w:rPr>
        <w:t xml:space="preserve">inal offenses </w:t>
      </w:r>
      <w:r w:rsidRPr="00B32568">
        <w:rPr>
          <w:rFonts w:ascii="Times New Roman" w:hAnsi="Times New Roman"/>
          <w:sz w:val="24"/>
        </w:rPr>
        <w:t xml:space="preserve">committed under the common </w:t>
      </w:r>
      <w:r w:rsidR="00067022" w:rsidRPr="00B32568">
        <w:rPr>
          <w:rFonts w:ascii="Times New Roman" w:hAnsi="Times New Roman"/>
          <w:sz w:val="24"/>
        </w:rPr>
        <w:t>law system and trials for criminal offenses</w:t>
      </w:r>
      <w:r w:rsidRPr="00B32568">
        <w:rPr>
          <w:rFonts w:ascii="Times New Roman" w:hAnsi="Times New Roman"/>
          <w:sz w:val="24"/>
        </w:rPr>
        <w:t xml:space="preserve"> </w:t>
      </w:r>
      <w:r w:rsidR="00067022" w:rsidRPr="00B32568">
        <w:rPr>
          <w:rFonts w:ascii="Times New Roman" w:hAnsi="Times New Roman"/>
          <w:sz w:val="24"/>
        </w:rPr>
        <w:t xml:space="preserve">prescribed under the </w:t>
      </w:r>
      <w:r w:rsidRPr="00B32568">
        <w:rPr>
          <w:rFonts w:ascii="Times New Roman" w:hAnsi="Times New Roman"/>
          <w:sz w:val="24"/>
        </w:rPr>
        <w:t xml:space="preserve">laws passed by </w:t>
      </w:r>
      <w:r w:rsidR="00067022" w:rsidRPr="00B32568">
        <w:rPr>
          <w:rFonts w:ascii="Times New Roman" w:hAnsi="Times New Roman"/>
          <w:sz w:val="24"/>
        </w:rPr>
        <w:t xml:space="preserve">the </w:t>
      </w:r>
      <w:r w:rsidRPr="00B32568">
        <w:rPr>
          <w:rFonts w:ascii="Times New Roman" w:hAnsi="Times New Roman"/>
          <w:sz w:val="24"/>
        </w:rPr>
        <w:t xml:space="preserve">Parliament. In the first case, the judges judged in the presence of a jury at the so-called quarterly sessions. In the second case, the judges also </w:t>
      </w:r>
      <w:r w:rsidR="00067022" w:rsidRPr="00B32568">
        <w:rPr>
          <w:rFonts w:ascii="Times New Roman" w:hAnsi="Times New Roman"/>
          <w:sz w:val="24"/>
        </w:rPr>
        <w:t>judged</w:t>
      </w:r>
      <w:r w:rsidRPr="00B32568">
        <w:rPr>
          <w:rFonts w:ascii="Times New Roman" w:hAnsi="Times New Roman"/>
          <w:sz w:val="24"/>
        </w:rPr>
        <w:t>, but without a jury and the trial</w:t>
      </w:r>
      <w:r w:rsidR="00067022" w:rsidRPr="00B32568">
        <w:rPr>
          <w:rFonts w:ascii="Times New Roman" w:hAnsi="Times New Roman"/>
          <w:sz w:val="24"/>
        </w:rPr>
        <w:t>s</w:t>
      </w:r>
      <w:r w:rsidRPr="00B32568">
        <w:rPr>
          <w:rFonts w:ascii="Times New Roman" w:hAnsi="Times New Roman"/>
          <w:sz w:val="24"/>
        </w:rPr>
        <w:t xml:space="preserve"> </w:t>
      </w:r>
      <w:r w:rsidR="00067022" w:rsidRPr="00B32568">
        <w:rPr>
          <w:rFonts w:ascii="Times New Roman" w:hAnsi="Times New Roman"/>
          <w:sz w:val="24"/>
        </w:rPr>
        <w:t xml:space="preserve">were </w:t>
      </w:r>
      <w:r w:rsidRPr="00B32568">
        <w:rPr>
          <w:rFonts w:ascii="Times New Roman" w:hAnsi="Times New Roman"/>
          <w:sz w:val="24"/>
        </w:rPr>
        <w:t>quite short. Because of their short duration, these trials were called summary conviction</w:t>
      </w:r>
      <w:r w:rsidR="00067022" w:rsidRPr="00B32568">
        <w:rPr>
          <w:rFonts w:ascii="Times New Roman" w:hAnsi="Times New Roman"/>
          <w:sz w:val="24"/>
        </w:rPr>
        <w:t>s (offenses punishable on summary conviction)</w:t>
      </w:r>
      <w:r w:rsidRPr="00B32568">
        <w:rPr>
          <w:rFonts w:ascii="Times New Roman" w:hAnsi="Times New Roman"/>
          <w:sz w:val="24"/>
        </w:rPr>
        <w:t>. In addition to these two groups, there is a third</w:t>
      </w:r>
      <w:r w:rsidR="00067022" w:rsidRPr="00B32568">
        <w:rPr>
          <w:rFonts w:ascii="Times New Roman" w:hAnsi="Times New Roman"/>
          <w:sz w:val="24"/>
        </w:rPr>
        <w:t xml:space="preserve"> one</w:t>
      </w:r>
      <w:r w:rsidRPr="00B32568">
        <w:rPr>
          <w:rFonts w:ascii="Times New Roman" w:hAnsi="Times New Roman"/>
          <w:sz w:val="24"/>
        </w:rPr>
        <w:t>, which is essentially a mixed type, i</w:t>
      </w:r>
      <w:r w:rsidR="00067022" w:rsidRPr="00B32568">
        <w:rPr>
          <w:rFonts w:ascii="Times New Roman" w:hAnsi="Times New Roman"/>
          <w:sz w:val="24"/>
        </w:rPr>
        <w:t>.</w:t>
      </w:r>
      <w:r w:rsidRPr="00B32568">
        <w:rPr>
          <w:rFonts w:ascii="Times New Roman" w:hAnsi="Times New Roman"/>
          <w:sz w:val="24"/>
        </w:rPr>
        <w:t>e</w:t>
      </w:r>
      <w:r w:rsidR="00067022" w:rsidRPr="00B32568">
        <w:rPr>
          <w:rFonts w:ascii="Times New Roman" w:hAnsi="Times New Roman"/>
          <w:sz w:val="24"/>
        </w:rPr>
        <w:t>. offenses triable either way</w:t>
      </w:r>
      <w:r w:rsidRPr="00B32568">
        <w:rPr>
          <w:rFonts w:ascii="Times New Roman" w:hAnsi="Times New Roman"/>
          <w:sz w:val="24"/>
        </w:rPr>
        <w:t xml:space="preserve">. The judge will decide which type of proceedings </w:t>
      </w:r>
      <w:r w:rsidR="00067022" w:rsidRPr="00B32568">
        <w:rPr>
          <w:rFonts w:ascii="Times New Roman" w:hAnsi="Times New Roman"/>
          <w:sz w:val="24"/>
        </w:rPr>
        <w:t xml:space="preserve">will be applied to </w:t>
      </w:r>
      <w:r w:rsidRPr="00B32568">
        <w:rPr>
          <w:rFonts w:ascii="Times New Roman" w:hAnsi="Times New Roman"/>
          <w:sz w:val="24"/>
        </w:rPr>
        <w:t>the accused after hearing the parties, assessing the gravity of the criminal offense.</w:t>
      </w:r>
    </w:p>
    <w:p w:rsidR="00334980" w:rsidRPr="00B32568" w:rsidRDefault="00334980" w:rsidP="00EE4634">
      <w:pPr>
        <w:spacing w:after="0" w:line="240" w:lineRule="auto"/>
        <w:ind w:firstLine="708"/>
        <w:jc w:val="both"/>
        <w:rPr>
          <w:rFonts w:ascii="Times New Roman" w:hAnsi="Times New Roman"/>
          <w:sz w:val="24"/>
        </w:rPr>
      </w:pPr>
      <w:r w:rsidRPr="00B32568">
        <w:rPr>
          <w:rFonts w:ascii="Times New Roman" w:hAnsi="Times New Roman"/>
          <w:sz w:val="24"/>
        </w:rPr>
        <w:lastRenderedPageBreak/>
        <w:t>If the judge</w:t>
      </w:r>
      <w:r w:rsidR="00067022" w:rsidRPr="00B32568">
        <w:rPr>
          <w:rFonts w:ascii="Times New Roman" w:hAnsi="Times New Roman"/>
          <w:sz w:val="24"/>
        </w:rPr>
        <w:t xml:space="preserve"> decides </w:t>
      </w:r>
      <w:r w:rsidR="00B32568" w:rsidRPr="00B32568">
        <w:rPr>
          <w:rFonts w:ascii="Times New Roman" w:hAnsi="Times New Roman"/>
          <w:sz w:val="24"/>
        </w:rPr>
        <w:t>for regular proceedings</w:t>
      </w:r>
      <w:r w:rsidR="00067022" w:rsidRPr="00B32568">
        <w:rPr>
          <w:rFonts w:ascii="Times New Roman" w:hAnsi="Times New Roman"/>
          <w:sz w:val="24"/>
        </w:rPr>
        <w:t xml:space="preserve">, the preparatory </w:t>
      </w:r>
      <w:proofErr w:type="gramStart"/>
      <w:r w:rsidR="00067022" w:rsidRPr="00B32568">
        <w:rPr>
          <w:rFonts w:ascii="Times New Roman" w:hAnsi="Times New Roman"/>
          <w:sz w:val="24"/>
        </w:rPr>
        <w:t>proceedings</w:t>
      </w:r>
      <w:r w:rsidRPr="00B32568">
        <w:rPr>
          <w:rFonts w:ascii="Times New Roman" w:hAnsi="Times New Roman"/>
          <w:sz w:val="24"/>
        </w:rPr>
        <w:t xml:space="preserve"> continues</w:t>
      </w:r>
      <w:proofErr w:type="gramEnd"/>
      <w:r w:rsidRPr="00B32568">
        <w:rPr>
          <w:rFonts w:ascii="Times New Roman" w:hAnsi="Times New Roman"/>
          <w:sz w:val="24"/>
        </w:rPr>
        <w:t xml:space="preserve">. If, on the other hand, </w:t>
      </w:r>
      <w:r w:rsidR="00067022" w:rsidRPr="00B32568">
        <w:rPr>
          <w:rFonts w:ascii="Times New Roman" w:hAnsi="Times New Roman"/>
          <w:sz w:val="24"/>
        </w:rPr>
        <w:t xml:space="preserve">it decides </w:t>
      </w:r>
      <w:r w:rsidR="00B32568" w:rsidRPr="00B32568">
        <w:rPr>
          <w:rFonts w:ascii="Times New Roman" w:hAnsi="Times New Roman"/>
          <w:sz w:val="24"/>
        </w:rPr>
        <w:t>for summary proceedings</w:t>
      </w:r>
      <w:r w:rsidRPr="00B32568">
        <w:rPr>
          <w:rFonts w:ascii="Times New Roman" w:hAnsi="Times New Roman"/>
          <w:sz w:val="24"/>
        </w:rPr>
        <w:t xml:space="preserve">, the accused must give his consent because a trial before a jury is a </w:t>
      </w:r>
      <w:r w:rsidR="00067022" w:rsidRPr="00B32568">
        <w:rPr>
          <w:rFonts w:ascii="Times New Roman" w:hAnsi="Times New Roman"/>
          <w:sz w:val="24"/>
        </w:rPr>
        <w:t>right guaranteed under the Constitution</w:t>
      </w:r>
      <w:r w:rsidRPr="00B32568">
        <w:rPr>
          <w:rFonts w:ascii="Times New Roman" w:hAnsi="Times New Roman"/>
          <w:sz w:val="24"/>
        </w:rPr>
        <w:t>.</w:t>
      </w:r>
    </w:p>
    <w:p w:rsidR="00025ADF" w:rsidRDefault="00025ADF" w:rsidP="00EE4634">
      <w:pPr>
        <w:spacing w:after="0" w:line="240" w:lineRule="auto"/>
        <w:ind w:firstLine="708"/>
        <w:rPr>
          <w:rFonts w:ascii="Times New Roman" w:hAnsi="Times New Roman"/>
          <w:b/>
          <w:sz w:val="24"/>
        </w:rPr>
      </w:pPr>
    </w:p>
    <w:p w:rsidR="00EA525D" w:rsidRDefault="00EA525D" w:rsidP="00EE4634">
      <w:pPr>
        <w:spacing w:after="0" w:line="240" w:lineRule="auto"/>
        <w:ind w:firstLine="708"/>
        <w:rPr>
          <w:rFonts w:ascii="Times New Roman" w:hAnsi="Times New Roman"/>
          <w:b/>
          <w:sz w:val="24"/>
        </w:rPr>
      </w:pPr>
    </w:p>
    <w:p w:rsidR="00EA525D" w:rsidRPr="00B32568" w:rsidRDefault="00EA525D" w:rsidP="00EE4634">
      <w:pPr>
        <w:spacing w:after="0" w:line="240" w:lineRule="auto"/>
        <w:ind w:firstLine="708"/>
        <w:rPr>
          <w:rFonts w:ascii="Times New Roman" w:hAnsi="Times New Roman"/>
          <w:b/>
          <w:sz w:val="24"/>
        </w:rPr>
      </w:pPr>
    </w:p>
    <w:p w:rsidR="00025ADF" w:rsidRPr="00B32568" w:rsidRDefault="00025ADF" w:rsidP="00EE4634">
      <w:pPr>
        <w:keepNext/>
        <w:keepLines/>
        <w:spacing w:before="40" w:after="0" w:line="240" w:lineRule="auto"/>
        <w:jc w:val="center"/>
        <w:outlineLvl w:val="2"/>
        <w:rPr>
          <w:rFonts w:ascii="Times New Roman" w:eastAsiaTheme="majorEastAsia" w:hAnsi="Times New Roman" w:cstheme="majorBidi"/>
          <w:sz w:val="24"/>
          <w:szCs w:val="24"/>
        </w:rPr>
      </w:pPr>
      <w:bookmarkStart w:id="6" w:name="_Toc30112787"/>
      <w:r w:rsidRPr="00B32568">
        <w:rPr>
          <w:rFonts w:ascii="Times New Roman" w:eastAsiaTheme="majorEastAsia" w:hAnsi="Times New Roman" w:cstheme="majorBidi"/>
          <w:szCs w:val="24"/>
        </w:rPr>
        <w:t>4</w:t>
      </w:r>
      <w:r w:rsidR="006D4450" w:rsidRPr="00B32568">
        <w:rPr>
          <w:rFonts w:ascii="Times New Roman" w:eastAsiaTheme="majorEastAsia" w:hAnsi="Times New Roman" w:cstheme="majorBidi"/>
          <w:sz w:val="24"/>
          <w:szCs w:val="24"/>
        </w:rPr>
        <w:t xml:space="preserve">. </w:t>
      </w:r>
      <w:r w:rsidRPr="00B32568">
        <w:rPr>
          <w:rFonts w:ascii="Times New Roman" w:eastAsiaTheme="majorEastAsia" w:hAnsi="Times New Roman" w:cstheme="majorBidi"/>
          <w:sz w:val="24"/>
          <w:szCs w:val="24"/>
        </w:rPr>
        <w:t xml:space="preserve"> </w:t>
      </w:r>
      <w:r w:rsidR="00067022" w:rsidRPr="00B32568">
        <w:rPr>
          <w:rFonts w:ascii="Times New Roman" w:eastAsiaTheme="majorEastAsia" w:hAnsi="Times New Roman" w:cstheme="majorBidi"/>
          <w:sz w:val="24"/>
          <w:szCs w:val="24"/>
        </w:rPr>
        <w:t xml:space="preserve">RULES AND PROCEEDINGS FOR ESTABLISHMENT OF FACTS </w:t>
      </w:r>
      <w:bookmarkEnd w:id="6"/>
    </w:p>
    <w:p w:rsidR="00762B73" w:rsidRPr="00B32568" w:rsidRDefault="00762B73" w:rsidP="00EE4634">
      <w:pPr>
        <w:spacing w:after="0" w:line="240" w:lineRule="auto"/>
        <w:ind w:firstLine="720"/>
        <w:jc w:val="both"/>
        <w:rPr>
          <w:rFonts w:ascii="Times New Roman" w:hAnsi="Times New Roman"/>
          <w:sz w:val="24"/>
        </w:rPr>
      </w:pPr>
    </w:p>
    <w:p w:rsidR="00334980" w:rsidRPr="00B32568" w:rsidRDefault="00334980" w:rsidP="00EE4634">
      <w:pPr>
        <w:spacing w:after="0" w:line="240" w:lineRule="auto"/>
        <w:ind w:firstLine="720"/>
        <w:jc w:val="both"/>
        <w:rPr>
          <w:rFonts w:ascii="Times New Roman" w:hAnsi="Times New Roman"/>
          <w:sz w:val="24"/>
        </w:rPr>
      </w:pPr>
      <w:r w:rsidRPr="00B32568">
        <w:rPr>
          <w:rFonts w:ascii="Times New Roman" w:hAnsi="Times New Roman"/>
          <w:sz w:val="24"/>
        </w:rPr>
        <w:t>The basic principles regarding the establishment of facts in English criminal proceedings are: the facts in issue</w:t>
      </w:r>
      <w:r w:rsidR="00E02748" w:rsidRPr="00B32568">
        <w:rPr>
          <w:rFonts w:ascii="Times New Roman" w:hAnsi="Times New Roman"/>
          <w:sz w:val="24"/>
          <w:vertAlign w:val="superscript"/>
        </w:rPr>
        <w:footnoteReference w:id="14"/>
      </w:r>
      <w:r w:rsidRPr="00B32568">
        <w:rPr>
          <w:rFonts w:ascii="Times New Roman" w:hAnsi="Times New Roman"/>
          <w:sz w:val="24"/>
        </w:rPr>
        <w:t xml:space="preserve"> </w:t>
      </w:r>
      <w:r w:rsidR="00F30886" w:rsidRPr="00B32568">
        <w:rPr>
          <w:rFonts w:ascii="Times New Roman" w:hAnsi="Times New Roman"/>
          <w:sz w:val="24"/>
        </w:rPr>
        <w:t>are</w:t>
      </w:r>
      <w:r w:rsidRPr="00B32568">
        <w:rPr>
          <w:rFonts w:ascii="Times New Roman" w:hAnsi="Times New Roman"/>
          <w:sz w:val="24"/>
        </w:rPr>
        <w:t xml:space="preserve"> determined exclusively by the parties to the proceedings; the burden of proof is solely on the plaintiff; the facts can be established </w:t>
      </w:r>
      <w:r w:rsidR="00E02748" w:rsidRPr="00B32568">
        <w:rPr>
          <w:rFonts w:ascii="Times New Roman" w:hAnsi="Times New Roman"/>
          <w:sz w:val="24"/>
        </w:rPr>
        <w:t xml:space="preserve">before a </w:t>
      </w:r>
      <w:r w:rsidRPr="00B32568">
        <w:rPr>
          <w:rFonts w:ascii="Times New Roman" w:hAnsi="Times New Roman"/>
          <w:sz w:val="24"/>
        </w:rPr>
        <w:t xml:space="preserve">court only on the basis of presentation and assessment of evidence; the presentation of evidence at the hearing, which is conducted in a strictly contradictory manner, is supervised by a judge who decides on logical issues of relevance of individual evidence and legal issues of their admissibility; the </w:t>
      </w:r>
      <w:r w:rsidR="00E02748" w:rsidRPr="00B32568">
        <w:rPr>
          <w:rFonts w:ascii="Times New Roman" w:hAnsi="Times New Roman"/>
          <w:sz w:val="24"/>
        </w:rPr>
        <w:t xml:space="preserve">assessment </w:t>
      </w:r>
      <w:r w:rsidRPr="00B32568">
        <w:rPr>
          <w:rFonts w:ascii="Times New Roman" w:hAnsi="Times New Roman"/>
          <w:sz w:val="24"/>
        </w:rPr>
        <w:t>of evidence before a jury, with some exceptions, is free from legal rules that would regulate their value.</w:t>
      </w:r>
      <w:r w:rsidR="00E02748" w:rsidRPr="00B32568">
        <w:rPr>
          <w:rFonts w:ascii="Times New Roman" w:hAnsi="Times New Roman"/>
          <w:sz w:val="24"/>
          <w:vertAlign w:val="superscript"/>
        </w:rPr>
        <w:footnoteReference w:id="15"/>
      </w:r>
    </w:p>
    <w:p w:rsidR="00025ADF" w:rsidRPr="00B32568" w:rsidRDefault="00025ADF" w:rsidP="00EE4634">
      <w:pPr>
        <w:spacing w:after="0" w:line="240" w:lineRule="auto"/>
        <w:jc w:val="both"/>
        <w:rPr>
          <w:rFonts w:ascii="Times New Roman" w:hAnsi="Times New Roman"/>
          <w:sz w:val="24"/>
        </w:rPr>
      </w:pPr>
    </w:p>
    <w:p w:rsidR="00025ADF" w:rsidRPr="00B32568" w:rsidRDefault="00D61FC5" w:rsidP="00EE4634">
      <w:pPr>
        <w:keepNext/>
        <w:keepLines/>
        <w:spacing w:before="40" w:after="0" w:line="240" w:lineRule="auto"/>
        <w:jc w:val="center"/>
        <w:outlineLvl w:val="3"/>
        <w:rPr>
          <w:rFonts w:ascii="Times New Roman" w:eastAsiaTheme="majorEastAsia" w:hAnsi="Times New Roman" w:cstheme="majorBidi"/>
          <w:iCs/>
          <w:sz w:val="24"/>
          <w:szCs w:val="24"/>
        </w:rPr>
      </w:pPr>
      <w:bookmarkStart w:id="7" w:name="_Toc30112788"/>
      <w:r w:rsidRPr="00B32568">
        <w:rPr>
          <w:rFonts w:ascii="Times New Roman" w:eastAsiaTheme="majorEastAsia" w:hAnsi="Times New Roman" w:cstheme="majorBidi"/>
          <w:iCs/>
          <w:sz w:val="24"/>
          <w:szCs w:val="24"/>
        </w:rPr>
        <w:t>4.</w:t>
      </w:r>
      <w:r w:rsidR="00025ADF" w:rsidRPr="00B32568">
        <w:rPr>
          <w:rFonts w:ascii="Times New Roman" w:eastAsiaTheme="majorEastAsia" w:hAnsi="Times New Roman" w:cstheme="majorBidi"/>
          <w:iCs/>
          <w:sz w:val="24"/>
          <w:szCs w:val="24"/>
        </w:rPr>
        <w:t xml:space="preserve">1. </w:t>
      </w:r>
      <w:r w:rsidR="00F30886" w:rsidRPr="00B32568">
        <w:rPr>
          <w:rFonts w:ascii="Times New Roman" w:eastAsiaTheme="majorEastAsia" w:hAnsi="Times New Roman" w:cstheme="majorBidi"/>
          <w:iCs/>
          <w:sz w:val="24"/>
          <w:szCs w:val="24"/>
        </w:rPr>
        <w:t xml:space="preserve">Determination of facts in issue </w:t>
      </w:r>
      <w:bookmarkEnd w:id="7"/>
    </w:p>
    <w:p w:rsidR="00025ADF" w:rsidRPr="00B32568" w:rsidRDefault="00025ADF" w:rsidP="00EE4634">
      <w:pPr>
        <w:spacing w:after="0" w:line="240" w:lineRule="auto"/>
        <w:rPr>
          <w:rFonts w:ascii="Times New Roman" w:hAnsi="Times New Roman"/>
          <w:b/>
          <w:sz w:val="24"/>
        </w:rPr>
      </w:pPr>
    </w:p>
    <w:p w:rsidR="00334980" w:rsidRPr="00B32568" w:rsidRDefault="00B32568" w:rsidP="00EE4634">
      <w:pPr>
        <w:spacing w:after="0" w:line="240" w:lineRule="auto"/>
        <w:ind w:firstLine="708"/>
        <w:jc w:val="both"/>
        <w:rPr>
          <w:rFonts w:ascii="Times New Roman" w:hAnsi="Times New Roman"/>
          <w:sz w:val="24"/>
        </w:rPr>
      </w:pPr>
      <w:r>
        <w:rPr>
          <w:rFonts w:ascii="Times New Roman" w:hAnsi="Times New Roman"/>
          <w:sz w:val="24"/>
        </w:rPr>
        <w:t xml:space="preserve">The plaintiff in the </w:t>
      </w:r>
      <w:proofErr w:type="spellStart"/>
      <w:r>
        <w:rPr>
          <w:rFonts w:ascii="Times New Roman" w:hAnsi="Times New Roman"/>
          <w:sz w:val="24"/>
        </w:rPr>
        <w:t>intial</w:t>
      </w:r>
      <w:proofErr w:type="spellEnd"/>
      <w:r>
        <w:rPr>
          <w:rFonts w:ascii="Times New Roman" w:hAnsi="Times New Roman"/>
          <w:sz w:val="24"/>
        </w:rPr>
        <w:t xml:space="preserve"> act by </w:t>
      </w:r>
      <w:proofErr w:type="spellStart"/>
      <w:r>
        <w:rPr>
          <w:rFonts w:ascii="Times New Roman" w:hAnsi="Times New Roman"/>
          <w:sz w:val="24"/>
        </w:rPr>
        <w:t>whih</w:t>
      </w:r>
      <w:proofErr w:type="spellEnd"/>
      <w:r>
        <w:rPr>
          <w:rFonts w:ascii="Times New Roman" w:hAnsi="Times New Roman"/>
          <w:sz w:val="24"/>
        </w:rPr>
        <w:t xml:space="preserve"> he </w:t>
      </w:r>
      <w:proofErr w:type="spellStart"/>
      <w:r>
        <w:rPr>
          <w:rFonts w:ascii="Times New Roman" w:hAnsi="Times New Roman"/>
          <w:sz w:val="24"/>
        </w:rPr>
        <w:t>intiates</w:t>
      </w:r>
      <w:proofErr w:type="spellEnd"/>
      <w:r>
        <w:rPr>
          <w:rFonts w:ascii="Times New Roman" w:hAnsi="Times New Roman"/>
          <w:sz w:val="24"/>
        </w:rPr>
        <w:t xml:space="preserve"> the </w:t>
      </w:r>
      <w:proofErr w:type="spellStart"/>
      <w:r>
        <w:rPr>
          <w:rFonts w:ascii="Times New Roman" w:hAnsi="Times New Roman"/>
          <w:sz w:val="24"/>
        </w:rPr>
        <w:t>proceedins</w:t>
      </w:r>
      <w:proofErr w:type="spellEnd"/>
      <w:r>
        <w:rPr>
          <w:rFonts w:ascii="Times New Roman" w:hAnsi="Times New Roman"/>
          <w:sz w:val="24"/>
        </w:rPr>
        <w:t xml:space="preserve"> (depending on its type) </w:t>
      </w:r>
      <w:proofErr w:type="spellStart"/>
      <w:r>
        <w:rPr>
          <w:rFonts w:ascii="Times New Roman" w:hAnsi="Times New Roman"/>
          <w:sz w:val="24"/>
        </w:rPr>
        <w:t>determins</w:t>
      </w:r>
      <w:proofErr w:type="spellEnd"/>
      <w:r w:rsidR="00334980" w:rsidRPr="00B32568">
        <w:rPr>
          <w:rFonts w:ascii="Times New Roman" w:hAnsi="Times New Roman"/>
          <w:sz w:val="24"/>
        </w:rPr>
        <w:t xml:space="preserve"> the fact</w:t>
      </w:r>
      <w:r w:rsidR="00056A89" w:rsidRPr="00B32568">
        <w:rPr>
          <w:rFonts w:ascii="Times New Roman" w:hAnsi="Times New Roman"/>
          <w:sz w:val="24"/>
        </w:rPr>
        <w:t>s</w:t>
      </w:r>
      <w:r w:rsidR="00334980" w:rsidRPr="00B32568">
        <w:rPr>
          <w:rFonts w:ascii="Times New Roman" w:hAnsi="Times New Roman"/>
          <w:sz w:val="24"/>
        </w:rPr>
        <w:t xml:space="preserve"> </w:t>
      </w:r>
      <w:r w:rsidR="00056A89" w:rsidRPr="00B32568">
        <w:rPr>
          <w:rFonts w:ascii="Times New Roman" w:hAnsi="Times New Roman"/>
          <w:sz w:val="24"/>
        </w:rPr>
        <w:t>in issue</w:t>
      </w:r>
      <w:r w:rsidR="00334980" w:rsidRPr="00B32568">
        <w:rPr>
          <w:rFonts w:ascii="Times New Roman" w:hAnsi="Times New Roman"/>
          <w:sz w:val="24"/>
        </w:rPr>
        <w:t xml:space="preserve">. To put it simply, the plaintiff in the indictment </w:t>
      </w:r>
      <w:r w:rsidR="00056A89" w:rsidRPr="00B32568">
        <w:rPr>
          <w:rFonts w:ascii="Times New Roman" w:hAnsi="Times New Roman"/>
          <w:sz w:val="24"/>
        </w:rPr>
        <w:t xml:space="preserve">already </w:t>
      </w:r>
      <w:r w:rsidRPr="00B32568">
        <w:rPr>
          <w:rFonts w:ascii="Times New Roman" w:hAnsi="Times New Roman"/>
          <w:sz w:val="24"/>
        </w:rPr>
        <w:t>determines</w:t>
      </w:r>
      <w:r w:rsidR="00056A89" w:rsidRPr="00B32568">
        <w:rPr>
          <w:rFonts w:ascii="Times New Roman" w:hAnsi="Times New Roman"/>
          <w:sz w:val="24"/>
        </w:rPr>
        <w:t xml:space="preserve"> the facts</w:t>
      </w:r>
      <w:r w:rsidR="00334980" w:rsidRPr="00B32568">
        <w:rPr>
          <w:rFonts w:ascii="Times New Roman" w:hAnsi="Times New Roman"/>
          <w:sz w:val="24"/>
        </w:rPr>
        <w:t xml:space="preserve"> </w:t>
      </w:r>
      <w:r w:rsidR="00056A89" w:rsidRPr="00B32568">
        <w:rPr>
          <w:rFonts w:ascii="Times New Roman" w:hAnsi="Times New Roman"/>
          <w:sz w:val="24"/>
        </w:rPr>
        <w:t>in issue</w:t>
      </w:r>
      <w:r w:rsidR="00334980" w:rsidRPr="00B32568">
        <w:rPr>
          <w:rFonts w:ascii="Times New Roman" w:hAnsi="Times New Roman"/>
          <w:sz w:val="24"/>
        </w:rPr>
        <w:t>, which he later intends to p</w:t>
      </w:r>
      <w:r w:rsidR="00056A89" w:rsidRPr="00B32568">
        <w:rPr>
          <w:rFonts w:ascii="Times New Roman" w:hAnsi="Times New Roman"/>
          <w:sz w:val="24"/>
        </w:rPr>
        <w:t>rove. The facts</w:t>
      </w:r>
      <w:r w:rsidR="00334980" w:rsidRPr="00B32568">
        <w:rPr>
          <w:rFonts w:ascii="Times New Roman" w:hAnsi="Times New Roman"/>
          <w:sz w:val="24"/>
        </w:rPr>
        <w:t xml:space="preserve"> </w:t>
      </w:r>
      <w:r w:rsidR="00056A89" w:rsidRPr="00B32568">
        <w:rPr>
          <w:rFonts w:ascii="Times New Roman" w:hAnsi="Times New Roman"/>
          <w:sz w:val="24"/>
        </w:rPr>
        <w:t xml:space="preserve">in issue </w:t>
      </w:r>
      <w:r w:rsidR="00334980" w:rsidRPr="00B32568">
        <w:rPr>
          <w:rFonts w:ascii="Times New Roman" w:hAnsi="Times New Roman"/>
          <w:sz w:val="24"/>
        </w:rPr>
        <w:t xml:space="preserve">can </w:t>
      </w:r>
      <w:r w:rsidR="00056A89" w:rsidRPr="00B32568">
        <w:rPr>
          <w:rFonts w:ascii="Times New Roman" w:hAnsi="Times New Roman"/>
          <w:sz w:val="24"/>
        </w:rPr>
        <w:t xml:space="preserve">relatively </w:t>
      </w:r>
      <w:r w:rsidR="00334980" w:rsidRPr="00B32568">
        <w:rPr>
          <w:rFonts w:ascii="Times New Roman" w:hAnsi="Times New Roman"/>
          <w:sz w:val="24"/>
        </w:rPr>
        <w:t>be determined earlier by some other act - application, court summons, arrest warrant, etc.</w:t>
      </w:r>
    </w:p>
    <w:p w:rsidR="00334980" w:rsidRPr="00B32568" w:rsidRDefault="00334980" w:rsidP="00EE4634">
      <w:pPr>
        <w:spacing w:after="0" w:line="240" w:lineRule="auto"/>
        <w:ind w:firstLine="708"/>
        <w:jc w:val="both"/>
        <w:rPr>
          <w:rFonts w:ascii="Times New Roman" w:hAnsi="Times New Roman"/>
          <w:sz w:val="24"/>
        </w:rPr>
      </w:pPr>
      <w:r w:rsidRPr="00B32568">
        <w:rPr>
          <w:rFonts w:ascii="Times New Roman" w:hAnsi="Times New Roman"/>
          <w:sz w:val="24"/>
        </w:rPr>
        <w:t xml:space="preserve">Sometimes the range of legally relevant facts in </w:t>
      </w:r>
      <w:r w:rsidR="00056A89" w:rsidRPr="00B32568">
        <w:rPr>
          <w:rFonts w:ascii="Times New Roman" w:hAnsi="Times New Roman"/>
          <w:sz w:val="24"/>
        </w:rPr>
        <w:t xml:space="preserve">issue </w:t>
      </w:r>
      <w:r w:rsidRPr="00B32568">
        <w:rPr>
          <w:rFonts w:ascii="Times New Roman" w:hAnsi="Times New Roman"/>
          <w:sz w:val="24"/>
        </w:rPr>
        <w:t xml:space="preserve">is extended to the initiative of the defendant. Namely, by raising objections and introducing evidence that refutes the </w:t>
      </w:r>
      <w:r w:rsidR="00056A89" w:rsidRPr="00B32568">
        <w:rPr>
          <w:rFonts w:ascii="Times New Roman" w:hAnsi="Times New Roman"/>
          <w:sz w:val="24"/>
        </w:rPr>
        <w:t xml:space="preserve">plaintiff's </w:t>
      </w:r>
      <w:r w:rsidRPr="00B32568">
        <w:rPr>
          <w:rFonts w:ascii="Times New Roman" w:hAnsi="Times New Roman"/>
          <w:sz w:val="24"/>
        </w:rPr>
        <w:t xml:space="preserve">evidence, he necessarily expands that range of facts. </w:t>
      </w:r>
      <w:r w:rsidR="00056A89" w:rsidRPr="00B32568">
        <w:rPr>
          <w:rFonts w:ascii="Times New Roman" w:hAnsi="Times New Roman"/>
          <w:sz w:val="24"/>
        </w:rPr>
        <w:t>As the accusation must be proven</w:t>
      </w:r>
      <w:r w:rsidRPr="00B32568">
        <w:rPr>
          <w:rFonts w:ascii="Times New Roman" w:hAnsi="Times New Roman"/>
          <w:sz w:val="24"/>
        </w:rPr>
        <w:t xml:space="preserve"> "beyond any reasonable doubt"</w:t>
      </w:r>
      <w:r w:rsidR="00056A89" w:rsidRPr="00B32568">
        <w:rPr>
          <w:rFonts w:ascii="Times New Roman" w:hAnsi="Times New Roman"/>
          <w:sz w:val="24"/>
          <w:vertAlign w:val="superscript"/>
        </w:rPr>
        <w:footnoteReference w:id="16"/>
      </w:r>
      <w:r w:rsidRPr="00B32568">
        <w:rPr>
          <w:rFonts w:ascii="Times New Roman" w:hAnsi="Times New Roman"/>
          <w:sz w:val="24"/>
        </w:rPr>
        <w:t xml:space="preserve">, the </w:t>
      </w:r>
      <w:r w:rsidR="00056A89" w:rsidRPr="00B32568">
        <w:rPr>
          <w:rFonts w:ascii="Times New Roman" w:hAnsi="Times New Roman"/>
          <w:sz w:val="24"/>
        </w:rPr>
        <w:t xml:space="preserve">plaintiff </w:t>
      </w:r>
      <w:r w:rsidRPr="00B32568">
        <w:rPr>
          <w:rFonts w:ascii="Times New Roman" w:hAnsi="Times New Roman"/>
          <w:sz w:val="24"/>
        </w:rPr>
        <w:t>is obliged to refute their truthfulness.</w:t>
      </w:r>
    </w:p>
    <w:p w:rsidR="00334980" w:rsidRPr="00B32568" w:rsidRDefault="00334980" w:rsidP="00EE4634">
      <w:pPr>
        <w:spacing w:after="0" w:line="240" w:lineRule="auto"/>
        <w:ind w:firstLine="720"/>
        <w:jc w:val="both"/>
        <w:rPr>
          <w:rFonts w:ascii="Times New Roman" w:hAnsi="Times New Roman"/>
          <w:sz w:val="24"/>
        </w:rPr>
      </w:pPr>
      <w:r w:rsidRPr="00B32568">
        <w:rPr>
          <w:rFonts w:ascii="Times New Roman" w:hAnsi="Times New Roman"/>
          <w:sz w:val="24"/>
        </w:rPr>
        <w:t>However, there are certain exceptions (</w:t>
      </w:r>
      <w:r w:rsidRPr="00B32568">
        <w:rPr>
          <w:rFonts w:ascii="Times New Roman" w:hAnsi="Times New Roman"/>
          <w:i/>
          <w:sz w:val="24"/>
        </w:rPr>
        <w:t>exemptions, exceptions, excuses of qualification</w:t>
      </w:r>
      <w:r w:rsidRPr="00B32568">
        <w:rPr>
          <w:rFonts w:ascii="Times New Roman" w:hAnsi="Times New Roman"/>
          <w:sz w:val="24"/>
        </w:rPr>
        <w:t>) when the burden of proof is actually "shifted" to the defendant. The reason for this is expediency: since these are incriminations contain</w:t>
      </w:r>
      <w:r w:rsidR="00F41916">
        <w:rPr>
          <w:rFonts w:ascii="Times New Roman" w:hAnsi="Times New Roman"/>
          <w:sz w:val="24"/>
        </w:rPr>
        <w:t>ing</w:t>
      </w:r>
      <w:r w:rsidRPr="00B32568">
        <w:rPr>
          <w:rFonts w:ascii="Times New Roman" w:hAnsi="Times New Roman"/>
          <w:sz w:val="24"/>
        </w:rPr>
        <w:t xml:space="preserve"> a general prohibition of certain </w:t>
      </w:r>
      <w:r w:rsidR="00056A89" w:rsidRPr="00B32568">
        <w:rPr>
          <w:rFonts w:ascii="Times New Roman" w:hAnsi="Times New Roman"/>
          <w:sz w:val="24"/>
        </w:rPr>
        <w:t>behavior</w:t>
      </w:r>
      <w:r w:rsidR="00F41916">
        <w:rPr>
          <w:rFonts w:ascii="Times New Roman" w:hAnsi="Times New Roman"/>
          <w:sz w:val="24"/>
        </w:rPr>
        <w:t>s</w:t>
      </w:r>
      <w:r w:rsidR="00056A89" w:rsidRPr="00B32568">
        <w:rPr>
          <w:rFonts w:ascii="Times New Roman" w:hAnsi="Times New Roman"/>
          <w:sz w:val="24"/>
        </w:rPr>
        <w:t xml:space="preserve"> </w:t>
      </w:r>
      <w:r w:rsidRPr="00B32568">
        <w:rPr>
          <w:rFonts w:ascii="Times New Roman" w:hAnsi="Times New Roman"/>
          <w:sz w:val="24"/>
        </w:rPr>
        <w:t>or actions, except for situations in which it is permissible, it is more practical to require the defendant to prove that such situations are in question.</w:t>
      </w:r>
    </w:p>
    <w:p w:rsidR="00334980" w:rsidRPr="00B32568" w:rsidRDefault="00334980" w:rsidP="00EE4634">
      <w:pPr>
        <w:spacing w:after="0" w:line="240" w:lineRule="auto"/>
        <w:ind w:firstLine="720"/>
        <w:jc w:val="both"/>
        <w:rPr>
          <w:rFonts w:ascii="Times New Roman" w:hAnsi="Times New Roman"/>
          <w:sz w:val="24"/>
        </w:rPr>
      </w:pPr>
      <w:r w:rsidRPr="00B32568">
        <w:rPr>
          <w:rFonts w:ascii="Times New Roman" w:hAnsi="Times New Roman"/>
          <w:sz w:val="24"/>
        </w:rPr>
        <w:t>There is another situation in which the burden of proof may be on the defendant, and t</w:t>
      </w:r>
      <w:r w:rsidR="00056A89" w:rsidRPr="00B32568">
        <w:rPr>
          <w:rFonts w:ascii="Times New Roman" w:hAnsi="Times New Roman"/>
          <w:sz w:val="24"/>
        </w:rPr>
        <w:t>hat is when during the proceedings</w:t>
      </w:r>
      <w:r w:rsidRPr="00B32568">
        <w:rPr>
          <w:rFonts w:ascii="Times New Roman" w:hAnsi="Times New Roman"/>
          <w:sz w:val="24"/>
        </w:rPr>
        <w:t xml:space="preserve"> the question is asked whether some evidence can be used as evidence in criminal proceedings (admissibility of evidence). The party proposing such evidence bears the burden of proof in terms of procedural rules that it is </w:t>
      </w:r>
      <w:proofErr w:type="gramStart"/>
      <w:r w:rsidR="00056A89" w:rsidRPr="00B32568">
        <w:rPr>
          <w:rFonts w:ascii="Times New Roman" w:hAnsi="Times New Roman"/>
          <w:sz w:val="24"/>
        </w:rPr>
        <w:t xml:space="preserve">an </w:t>
      </w:r>
      <w:r w:rsidRPr="00B32568">
        <w:rPr>
          <w:rFonts w:ascii="Times New Roman" w:hAnsi="Times New Roman"/>
          <w:sz w:val="24"/>
        </w:rPr>
        <w:t>evidence</w:t>
      </w:r>
      <w:proofErr w:type="gramEnd"/>
      <w:r w:rsidRPr="00B32568">
        <w:rPr>
          <w:rFonts w:ascii="Times New Roman" w:hAnsi="Times New Roman"/>
          <w:sz w:val="24"/>
        </w:rPr>
        <w:t xml:space="preserve"> that can be used as evidence in criminal proceedings. If the party fails to prove this, the so-called exclusion rule</w:t>
      </w:r>
      <w:r w:rsidR="00056A89" w:rsidRPr="00B32568">
        <w:rPr>
          <w:rFonts w:ascii="Times New Roman" w:hAnsi="Times New Roman"/>
          <w:sz w:val="24"/>
        </w:rPr>
        <w:t xml:space="preserve"> shall be applied</w:t>
      </w:r>
      <w:r w:rsidRPr="00B32568">
        <w:rPr>
          <w:rFonts w:ascii="Times New Roman" w:hAnsi="Times New Roman"/>
          <w:sz w:val="24"/>
        </w:rPr>
        <w:t>.</w:t>
      </w:r>
    </w:p>
    <w:p w:rsidR="00025ADF" w:rsidRPr="00B32568" w:rsidRDefault="00025ADF" w:rsidP="00EE4634">
      <w:pPr>
        <w:spacing w:after="0" w:line="240" w:lineRule="auto"/>
        <w:rPr>
          <w:rFonts w:ascii="Times New Roman" w:hAnsi="Times New Roman"/>
          <w:b/>
          <w:sz w:val="24"/>
        </w:rPr>
      </w:pPr>
    </w:p>
    <w:p w:rsidR="00025ADF" w:rsidRPr="00B32568" w:rsidRDefault="00D61FC5" w:rsidP="00EE4634">
      <w:pPr>
        <w:keepNext/>
        <w:keepLines/>
        <w:spacing w:before="40" w:after="0" w:line="240" w:lineRule="auto"/>
        <w:jc w:val="center"/>
        <w:outlineLvl w:val="3"/>
        <w:rPr>
          <w:rFonts w:ascii="Times New Roman" w:eastAsiaTheme="majorEastAsia" w:hAnsi="Times New Roman" w:cstheme="majorBidi"/>
          <w:iCs/>
          <w:sz w:val="24"/>
          <w:szCs w:val="24"/>
        </w:rPr>
      </w:pPr>
      <w:bookmarkStart w:id="8" w:name="_Toc30112789"/>
      <w:r w:rsidRPr="00B32568">
        <w:rPr>
          <w:rFonts w:ascii="Times New Roman" w:eastAsiaTheme="majorEastAsia" w:hAnsi="Times New Roman" w:cstheme="majorBidi"/>
          <w:iCs/>
          <w:sz w:val="24"/>
          <w:szCs w:val="24"/>
        </w:rPr>
        <w:lastRenderedPageBreak/>
        <w:t>4.</w:t>
      </w:r>
      <w:r w:rsidR="00025ADF" w:rsidRPr="00B32568">
        <w:rPr>
          <w:rFonts w:ascii="Times New Roman" w:eastAsiaTheme="majorEastAsia" w:hAnsi="Times New Roman" w:cstheme="majorBidi"/>
          <w:iCs/>
          <w:sz w:val="24"/>
          <w:szCs w:val="24"/>
        </w:rPr>
        <w:t xml:space="preserve">2. </w:t>
      </w:r>
      <w:bookmarkEnd w:id="8"/>
      <w:r w:rsidR="00056A89" w:rsidRPr="00B32568">
        <w:rPr>
          <w:rFonts w:ascii="Times New Roman" w:eastAsiaTheme="majorEastAsia" w:hAnsi="Times New Roman" w:cstheme="majorBidi"/>
          <w:iCs/>
          <w:sz w:val="24"/>
          <w:szCs w:val="24"/>
        </w:rPr>
        <w:t>Burden of proof</w:t>
      </w:r>
    </w:p>
    <w:p w:rsidR="00363600" w:rsidRPr="00B32568" w:rsidRDefault="00363600" w:rsidP="00EE4634">
      <w:pPr>
        <w:spacing w:after="0" w:line="240" w:lineRule="auto"/>
        <w:ind w:firstLine="708"/>
        <w:jc w:val="both"/>
        <w:rPr>
          <w:rFonts w:ascii="Times New Roman" w:hAnsi="Times New Roman"/>
          <w:sz w:val="24"/>
        </w:rPr>
      </w:pPr>
    </w:p>
    <w:p w:rsidR="00334980" w:rsidRPr="00B32568" w:rsidRDefault="00334980" w:rsidP="00EE4634">
      <w:pPr>
        <w:spacing w:after="0" w:line="240" w:lineRule="auto"/>
        <w:ind w:firstLine="708"/>
        <w:jc w:val="both"/>
        <w:rPr>
          <w:rFonts w:ascii="Times New Roman" w:hAnsi="Times New Roman"/>
          <w:sz w:val="24"/>
        </w:rPr>
      </w:pPr>
      <w:r w:rsidRPr="00B32568">
        <w:rPr>
          <w:rFonts w:ascii="Times New Roman" w:hAnsi="Times New Roman"/>
          <w:sz w:val="24"/>
        </w:rPr>
        <w:t xml:space="preserve">The burden of proof in criminal proceedings in English law lies with the </w:t>
      </w:r>
      <w:r w:rsidR="009006EF" w:rsidRPr="00B32568">
        <w:rPr>
          <w:rFonts w:ascii="Times New Roman" w:hAnsi="Times New Roman"/>
          <w:sz w:val="24"/>
        </w:rPr>
        <w:t>plaintiff</w:t>
      </w:r>
      <w:r w:rsidRPr="00B32568">
        <w:rPr>
          <w:rFonts w:ascii="Times New Roman" w:hAnsi="Times New Roman"/>
          <w:sz w:val="24"/>
        </w:rPr>
        <w:t>. The reason is that he is the one who raises the indictment.</w:t>
      </w:r>
      <w:r w:rsidR="009006EF" w:rsidRPr="00B32568">
        <w:rPr>
          <w:rFonts w:ascii="Times New Roman" w:hAnsi="Times New Roman"/>
          <w:sz w:val="24"/>
          <w:vertAlign w:val="superscript"/>
        </w:rPr>
        <w:footnoteReference w:id="17"/>
      </w:r>
      <w:r w:rsidRPr="00B32568">
        <w:rPr>
          <w:rFonts w:ascii="Times New Roman" w:hAnsi="Times New Roman"/>
          <w:sz w:val="24"/>
        </w:rPr>
        <w:t xml:space="preserve"> After the initiation of the proceedings, the plaintiff primarily proves the allegations from the indictment (facts in issue). The evidence presented to the court in this regard is evidence </w:t>
      </w:r>
      <w:r w:rsidR="009006EF" w:rsidRPr="00B32568">
        <w:rPr>
          <w:rFonts w:ascii="Times New Roman" w:hAnsi="Times New Roman"/>
          <w:sz w:val="24"/>
        </w:rPr>
        <w:t xml:space="preserve">sufficient </w:t>
      </w:r>
      <w:r w:rsidRPr="00B32568">
        <w:rPr>
          <w:rFonts w:ascii="Times New Roman" w:hAnsi="Times New Roman"/>
          <w:sz w:val="24"/>
        </w:rPr>
        <w:t>to establish the disputed facts (</w:t>
      </w:r>
      <w:r w:rsidRPr="00B32568">
        <w:rPr>
          <w:rFonts w:ascii="Times New Roman" w:hAnsi="Times New Roman"/>
          <w:i/>
          <w:sz w:val="24"/>
        </w:rPr>
        <w:t>prima facie evidence</w:t>
      </w:r>
      <w:r w:rsidRPr="00B32568">
        <w:rPr>
          <w:rFonts w:ascii="Times New Roman" w:hAnsi="Times New Roman"/>
          <w:sz w:val="24"/>
        </w:rPr>
        <w:t xml:space="preserve">). If the </w:t>
      </w:r>
      <w:r w:rsidR="009006EF" w:rsidRPr="00B32568">
        <w:rPr>
          <w:rFonts w:ascii="Times New Roman" w:hAnsi="Times New Roman"/>
          <w:sz w:val="24"/>
        </w:rPr>
        <w:t xml:space="preserve">plaintiff </w:t>
      </w:r>
      <w:r w:rsidRPr="00B32568">
        <w:rPr>
          <w:rFonts w:ascii="Times New Roman" w:hAnsi="Times New Roman"/>
          <w:sz w:val="24"/>
        </w:rPr>
        <w:t xml:space="preserve">does not submit prima facie evidence, the defense has the right to seek immediate release because it is </w:t>
      </w:r>
      <w:r w:rsidR="009006EF" w:rsidRPr="00B32568">
        <w:rPr>
          <w:rFonts w:ascii="Times New Roman" w:hAnsi="Times New Roman"/>
          <w:sz w:val="24"/>
        </w:rPr>
        <w:t>„</w:t>
      </w:r>
      <w:r w:rsidRPr="00B32568">
        <w:rPr>
          <w:rFonts w:ascii="Times New Roman" w:hAnsi="Times New Roman"/>
          <w:sz w:val="24"/>
        </w:rPr>
        <w:t>no</w:t>
      </w:r>
      <w:r w:rsidR="009006EF" w:rsidRPr="00B32568">
        <w:rPr>
          <w:rFonts w:ascii="Times New Roman" w:hAnsi="Times New Roman"/>
          <w:sz w:val="24"/>
        </w:rPr>
        <w:t xml:space="preserve"> </w:t>
      </w:r>
      <w:r w:rsidRPr="00B32568">
        <w:rPr>
          <w:rFonts w:ascii="Times New Roman" w:hAnsi="Times New Roman"/>
          <w:sz w:val="24"/>
        </w:rPr>
        <w:t>case to answer".</w:t>
      </w:r>
    </w:p>
    <w:p w:rsidR="00025ADF" w:rsidRPr="00B32568" w:rsidRDefault="00025ADF" w:rsidP="00EE4634">
      <w:pPr>
        <w:spacing w:after="0" w:line="240" w:lineRule="auto"/>
        <w:ind w:firstLine="708"/>
        <w:jc w:val="both"/>
        <w:rPr>
          <w:rFonts w:ascii="Times New Roman" w:hAnsi="Times New Roman"/>
          <w:sz w:val="24"/>
        </w:rPr>
      </w:pPr>
    </w:p>
    <w:p w:rsidR="00025ADF" w:rsidRPr="00B32568" w:rsidRDefault="00392B30" w:rsidP="00EE4634">
      <w:pPr>
        <w:keepNext/>
        <w:keepLines/>
        <w:spacing w:before="40" w:after="0" w:line="240" w:lineRule="auto"/>
        <w:jc w:val="center"/>
        <w:outlineLvl w:val="2"/>
        <w:rPr>
          <w:rFonts w:ascii="Times New Roman" w:eastAsiaTheme="majorEastAsia" w:hAnsi="Times New Roman" w:cstheme="majorBidi"/>
          <w:sz w:val="24"/>
          <w:szCs w:val="24"/>
        </w:rPr>
      </w:pPr>
      <w:bookmarkStart w:id="9" w:name="_Toc30112790"/>
      <w:r w:rsidRPr="00B32568">
        <w:rPr>
          <w:rFonts w:ascii="Times New Roman" w:eastAsiaTheme="majorEastAsia" w:hAnsi="Times New Roman" w:cstheme="majorBidi"/>
          <w:sz w:val="24"/>
          <w:szCs w:val="24"/>
        </w:rPr>
        <w:t xml:space="preserve">4.3. </w:t>
      </w:r>
      <w:r w:rsidR="00680E0F" w:rsidRPr="00B32568">
        <w:rPr>
          <w:rFonts w:ascii="Times New Roman" w:eastAsiaTheme="majorEastAsia" w:hAnsi="Times New Roman" w:cstheme="majorBidi"/>
          <w:sz w:val="24"/>
          <w:szCs w:val="24"/>
        </w:rPr>
        <w:t>Procedural rules for presentation of evidence</w:t>
      </w:r>
      <w:bookmarkEnd w:id="9"/>
    </w:p>
    <w:p w:rsidR="00025ADF" w:rsidRPr="00B32568" w:rsidRDefault="00025ADF" w:rsidP="00EE4634">
      <w:pPr>
        <w:spacing w:after="0" w:line="240" w:lineRule="auto"/>
        <w:rPr>
          <w:rFonts w:ascii="Times New Roman" w:hAnsi="Times New Roman"/>
          <w:b/>
          <w:sz w:val="24"/>
        </w:rPr>
      </w:pPr>
    </w:p>
    <w:p w:rsidR="00334980" w:rsidRPr="00B32568" w:rsidRDefault="00334980" w:rsidP="00EE4634">
      <w:pPr>
        <w:spacing w:after="0" w:line="240" w:lineRule="auto"/>
        <w:ind w:firstLine="720"/>
        <w:jc w:val="both"/>
        <w:rPr>
          <w:rFonts w:ascii="Times New Roman" w:hAnsi="Times New Roman"/>
          <w:sz w:val="24"/>
        </w:rPr>
      </w:pPr>
      <w:r w:rsidRPr="00B32568">
        <w:rPr>
          <w:rFonts w:ascii="Times New Roman" w:hAnsi="Times New Roman"/>
          <w:sz w:val="24"/>
        </w:rPr>
        <w:t>In English criminal proceedings</w:t>
      </w:r>
      <w:r w:rsidR="002323BF" w:rsidRPr="00B32568">
        <w:rPr>
          <w:rFonts w:ascii="Times New Roman" w:hAnsi="Times New Roman"/>
          <w:sz w:val="24"/>
          <w:vertAlign w:val="superscript"/>
        </w:rPr>
        <w:footnoteReference w:id="18"/>
      </w:r>
      <w:r w:rsidRPr="00B32568">
        <w:rPr>
          <w:rFonts w:ascii="Times New Roman" w:hAnsi="Times New Roman"/>
          <w:sz w:val="24"/>
        </w:rPr>
        <w:t xml:space="preserve">, </w:t>
      </w:r>
      <w:r w:rsidR="00F41916">
        <w:rPr>
          <w:rFonts w:ascii="Times New Roman" w:hAnsi="Times New Roman"/>
          <w:sz w:val="24"/>
        </w:rPr>
        <w:t xml:space="preserve">the parties present </w:t>
      </w:r>
      <w:r w:rsidRPr="00B32568">
        <w:rPr>
          <w:rFonts w:ascii="Times New Roman" w:hAnsi="Times New Roman"/>
          <w:sz w:val="24"/>
        </w:rPr>
        <w:t xml:space="preserve">evidence, while the court moderates the proceedings. When presenting evidence, the principle of contradiction is fully </w:t>
      </w:r>
      <w:r w:rsidR="002323BF" w:rsidRPr="00B32568">
        <w:rPr>
          <w:rFonts w:ascii="Times New Roman" w:hAnsi="Times New Roman"/>
          <w:sz w:val="24"/>
        </w:rPr>
        <w:t xml:space="preserve">applied </w:t>
      </w:r>
      <w:r w:rsidRPr="00B32568">
        <w:rPr>
          <w:rFonts w:ascii="Times New Roman" w:hAnsi="Times New Roman"/>
          <w:sz w:val="24"/>
        </w:rPr>
        <w:t xml:space="preserve">- </w:t>
      </w:r>
      <w:proofErr w:type="gramStart"/>
      <w:r w:rsidRPr="00B32568">
        <w:rPr>
          <w:rFonts w:ascii="Times New Roman" w:hAnsi="Times New Roman"/>
          <w:sz w:val="24"/>
        </w:rPr>
        <w:t xml:space="preserve">which means the possibility of the opposing party to state </w:t>
      </w:r>
      <w:r w:rsidR="002323BF" w:rsidRPr="00B32568">
        <w:rPr>
          <w:rFonts w:ascii="Times New Roman" w:hAnsi="Times New Roman"/>
          <w:sz w:val="24"/>
        </w:rPr>
        <w:t xml:space="preserve">on </w:t>
      </w:r>
      <w:r w:rsidRPr="00B32568">
        <w:rPr>
          <w:rFonts w:ascii="Times New Roman" w:hAnsi="Times New Roman"/>
          <w:sz w:val="24"/>
        </w:rPr>
        <w:t>all the evidence and allegations, and examine them in substance.</w:t>
      </w:r>
      <w:proofErr w:type="gramEnd"/>
      <w:r w:rsidRPr="00B32568">
        <w:rPr>
          <w:rFonts w:ascii="Times New Roman" w:hAnsi="Times New Roman"/>
          <w:sz w:val="24"/>
        </w:rPr>
        <w:t xml:space="preserve"> The principle of contradiction is most</w:t>
      </w:r>
      <w:r w:rsidR="002323BF" w:rsidRPr="00B32568">
        <w:rPr>
          <w:rFonts w:ascii="Times New Roman" w:hAnsi="Times New Roman"/>
          <w:sz w:val="24"/>
        </w:rPr>
        <w:t xml:space="preserve">ly pronounced </w:t>
      </w:r>
      <w:r w:rsidRPr="00B32568">
        <w:rPr>
          <w:rFonts w:ascii="Times New Roman" w:hAnsi="Times New Roman"/>
          <w:sz w:val="24"/>
        </w:rPr>
        <w:t>in the examination of witnesses.</w:t>
      </w:r>
    </w:p>
    <w:p w:rsidR="00334980" w:rsidRPr="00B32568" w:rsidRDefault="00334980" w:rsidP="00EE4634">
      <w:pPr>
        <w:spacing w:after="0" w:line="240" w:lineRule="auto"/>
        <w:ind w:firstLine="720"/>
        <w:jc w:val="both"/>
        <w:rPr>
          <w:rFonts w:ascii="Times New Roman" w:hAnsi="Times New Roman"/>
          <w:sz w:val="24"/>
        </w:rPr>
      </w:pPr>
      <w:r w:rsidRPr="00B32568">
        <w:rPr>
          <w:rFonts w:ascii="Times New Roman" w:hAnsi="Times New Roman"/>
          <w:sz w:val="24"/>
        </w:rPr>
        <w:t xml:space="preserve">The witness is obliged to take the oath before the examination. He is then questioned by the party who proposed him (examination-in-chief). The witness is then examined by the </w:t>
      </w:r>
      <w:r w:rsidR="002323BF" w:rsidRPr="00B32568">
        <w:rPr>
          <w:rFonts w:ascii="Times New Roman" w:hAnsi="Times New Roman"/>
          <w:sz w:val="24"/>
        </w:rPr>
        <w:t xml:space="preserve">counterparty </w:t>
      </w:r>
      <w:r w:rsidRPr="00B32568">
        <w:rPr>
          <w:rFonts w:ascii="Times New Roman" w:hAnsi="Times New Roman"/>
          <w:sz w:val="24"/>
        </w:rPr>
        <w:t>(cross-</w:t>
      </w:r>
      <w:r w:rsidR="00F41916" w:rsidRPr="00B32568">
        <w:rPr>
          <w:rFonts w:ascii="Times New Roman" w:hAnsi="Times New Roman"/>
          <w:sz w:val="24"/>
        </w:rPr>
        <w:t>examination</w:t>
      </w:r>
      <w:r w:rsidRPr="00B32568">
        <w:rPr>
          <w:rFonts w:ascii="Times New Roman" w:hAnsi="Times New Roman"/>
          <w:sz w:val="24"/>
        </w:rPr>
        <w:t>). E</w:t>
      </w:r>
      <w:r w:rsidR="002323BF" w:rsidRPr="00B32568">
        <w:rPr>
          <w:rFonts w:ascii="Times New Roman" w:hAnsi="Times New Roman"/>
          <w:sz w:val="24"/>
        </w:rPr>
        <w:t>nglish law allows a counterparty</w:t>
      </w:r>
      <w:r w:rsidRPr="00B32568">
        <w:rPr>
          <w:rFonts w:ascii="Times New Roman" w:hAnsi="Times New Roman"/>
          <w:sz w:val="24"/>
        </w:rPr>
        <w:t xml:space="preserve"> to use various interrogation tactics designed to </w:t>
      </w:r>
      <w:r w:rsidR="002323BF" w:rsidRPr="00B32568">
        <w:rPr>
          <w:rFonts w:ascii="Times New Roman" w:hAnsi="Times New Roman"/>
          <w:sz w:val="24"/>
        </w:rPr>
        <w:t xml:space="preserve">reveal </w:t>
      </w:r>
      <w:r w:rsidRPr="00B32568">
        <w:rPr>
          <w:rFonts w:ascii="Times New Roman" w:hAnsi="Times New Roman"/>
          <w:sz w:val="24"/>
        </w:rPr>
        <w:t xml:space="preserve">inconsistencies and deficiencies in testimony, and to cast doubt on the credibility of testimony, and even to cast a shadow over the identity of witnesses (impeachment methods). Finally, the party who </w:t>
      </w:r>
      <w:r w:rsidR="002323BF" w:rsidRPr="00B32568">
        <w:rPr>
          <w:rFonts w:ascii="Times New Roman" w:hAnsi="Times New Roman"/>
          <w:sz w:val="24"/>
        </w:rPr>
        <w:t xml:space="preserve">proposed </w:t>
      </w:r>
      <w:r w:rsidRPr="00B32568">
        <w:rPr>
          <w:rFonts w:ascii="Times New Roman" w:hAnsi="Times New Roman"/>
          <w:sz w:val="24"/>
        </w:rPr>
        <w:t xml:space="preserve">the witness </w:t>
      </w:r>
      <w:r w:rsidR="002323BF" w:rsidRPr="00B32568">
        <w:rPr>
          <w:rFonts w:ascii="Times New Roman" w:hAnsi="Times New Roman"/>
          <w:sz w:val="24"/>
        </w:rPr>
        <w:t xml:space="preserve">– is </w:t>
      </w:r>
      <w:r w:rsidRPr="00B32568">
        <w:rPr>
          <w:rFonts w:ascii="Times New Roman" w:hAnsi="Times New Roman"/>
          <w:sz w:val="24"/>
        </w:rPr>
        <w:t>given the opportunity to re-examine him once again.</w:t>
      </w:r>
    </w:p>
    <w:p w:rsidR="00334980" w:rsidRPr="00B32568" w:rsidRDefault="00334980" w:rsidP="00EE4634">
      <w:pPr>
        <w:spacing w:after="0" w:line="240" w:lineRule="auto"/>
        <w:ind w:firstLine="720"/>
        <w:jc w:val="both"/>
        <w:rPr>
          <w:rFonts w:ascii="Times New Roman" w:hAnsi="Times New Roman"/>
          <w:sz w:val="24"/>
        </w:rPr>
      </w:pPr>
      <w:r w:rsidRPr="00B32568">
        <w:rPr>
          <w:rFonts w:ascii="Times New Roman" w:hAnsi="Times New Roman"/>
          <w:sz w:val="24"/>
        </w:rPr>
        <w:t xml:space="preserve">During the examination-in-chief, the witness </w:t>
      </w:r>
      <w:r w:rsidR="00B93837" w:rsidRPr="00B32568">
        <w:rPr>
          <w:rFonts w:ascii="Times New Roman" w:hAnsi="Times New Roman"/>
          <w:sz w:val="24"/>
        </w:rPr>
        <w:t>is</w:t>
      </w:r>
      <w:r w:rsidRPr="00B32568">
        <w:rPr>
          <w:rFonts w:ascii="Times New Roman" w:hAnsi="Times New Roman"/>
          <w:sz w:val="24"/>
        </w:rPr>
        <w:t xml:space="preserve"> forbidden to ask leading questions. The ability to "refresh" a witness'</w:t>
      </w:r>
      <w:r w:rsidR="00B93837" w:rsidRPr="00B32568">
        <w:rPr>
          <w:rFonts w:ascii="Times New Roman" w:hAnsi="Times New Roman"/>
          <w:sz w:val="24"/>
        </w:rPr>
        <w:t>s</w:t>
      </w:r>
      <w:r w:rsidRPr="00B32568">
        <w:rPr>
          <w:rFonts w:ascii="Times New Roman" w:hAnsi="Times New Roman"/>
          <w:sz w:val="24"/>
        </w:rPr>
        <w:t xml:space="preserve"> memory is limited, and cross-examination of one's own witness for</w:t>
      </w:r>
      <w:r w:rsidR="00F41916">
        <w:rPr>
          <w:rFonts w:ascii="Times New Roman" w:hAnsi="Times New Roman"/>
          <w:sz w:val="24"/>
        </w:rPr>
        <w:t xml:space="preserve"> </w:t>
      </w:r>
      <w:r w:rsidRPr="00B32568">
        <w:rPr>
          <w:rFonts w:ascii="Times New Roman" w:hAnsi="Times New Roman"/>
          <w:sz w:val="24"/>
        </w:rPr>
        <w:t xml:space="preserve">the purpose of discrediting is also prohibited. In cross-examination, the </w:t>
      </w:r>
      <w:r w:rsidR="00B93837" w:rsidRPr="00B32568">
        <w:rPr>
          <w:rFonts w:ascii="Times New Roman" w:hAnsi="Times New Roman"/>
          <w:sz w:val="24"/>
        </w:rPr>
        <w:t>counter</w:t>
      </w:r>
      <w:r w:rsidRPr="00B32568">
        <w:rPr>
          <w:rFonts w:ascii="Times New Roman" w:hAnsi="Times New Roman"/>
          <w:sz w:val="24"/>
        </w:rPr>
        <w:t xml:space="preserve">party is not bound by the subject </w:t>
      </w:r>
      <w:r w:rsidR="00B93837" w:rsidRPr="00B32568">
        <w:rPr>
          <w:rFonts w:ascii="Times New Roman" w:hAnsi="Times New Roman"/>
          <w:sz w:val="24"/>
        </w:rPr>
        <w:t xml:space="preserve">matter </w:t>
      </w:r>
      <w:r w:rsidRPr="00B32568">
        <w:rPr>
          <w:rFonts w:ascii="Times New Roman" w:hAnsi="Times New Roman"/>
          <w:sz w:val="24"/>
        </w:rPr>
        <w:t>of the examination</w:t>
      </w:r>
      <w:r w:rsidR="00B93837" w:rsidRPr="00B32568">
        <w:rPr>
          <w:rFonts w:ascii="Times New Roman" w:hAnsi="Times New Roman"/>
          <w:sz w:val="24"/>
        </w:rPr>
        <w:t>-in-chief</w:t>
      </w:r>
      <w:r w:rsidRPr="00B32568">
        <w:rPr>
          <w:rFonts w:ascii="Times New Roman" w:hAnsi="Times New Roman"/>
          <w:sz w:val="24"/>
        </w:rPr>
        <w:t>, but is by the rules of relevance. Cross-examination also has limitations: questions that violate the witness's honor and dignity must not be asked</w:t>
      </w:r>
      <w:r w:rsidR="00B93837" w:rsidRPr="00B32568">
        <w:rPr>
          <w:rFonts w:ascii="Times New Roman" w:hAnsi="Times New Roman"/>
          <w:sz w:val="24"/>
        </w:rPr>
        <w:t>,</w:t>
      </w:r>
      <w:r w:rsidRPr="00B32568">
        <w:rPr>
          <w:rFonts w:ascii="Times New Roman" w:hAnsi="Times New Roman"/>
          <w:sz w:val="24"/>
        </w:rPr>
        <w:t xml:space="preserve"> unless there is a valid reason and permission from the court - in which case only one such question can be asked.</w:t>
      </w:r>
    </w:p>
    <w:p w:rsidR="00B93837" w:rsidRPr="00B32568" w:rsidRDefault="00B93837" w:rsidP="00EE4634">
      <w:pPr>
        <w:keepNext/>
        <w:keepLines/>
        <w:spacing w:before="40" w:after="0" w:line="240" w:lineRule="auto"/>
        <w:jc w:val="center"/>
        <w:outlineLvl w:val="1"/>
        <w:rPr>
          <w:rFonts w:ascii="Times New Roman" w:eastAsiaTheme="majorEastAsia" w:hAnsi="Times New Roman" w:cstheme="majorBidi"/>
          <w:sz w:val="24"/>
          <w:szCs w:val="26"/>
        </w:rPr>
      </w:pPr>
      <w:bookmarkStart w:id="10" w:name="_Toc30112791"/>
    </w:p>
    <w:p w:rsidR="00025ADF" w:rsidRPr="00B32568" w:rsidRDefault="00392B30" w:rsidP="00EE4634">
      <w:pPr>
        <w:keepNext/>
        <w:keepLines/>
        <w:spacing w:before="40" w:after="0" w:line="240" w:lineRule="auto"/>
        <w:jc w:val="center"/>
        <w:outlineLvl w:val="1"/>
        <w:rPr>
          <w:rFonts w:ascii="Times New Roman" w:eastAsiaTheme="majorEastAsia" w:hAnsi="Times New Roman" w:cstheme="majorBidi"/>
          <w:sz w:val="24"/>
          <w:szCs w:val="26"/>
        </w:rPr>
      </w:pPr>
      <w:r w:rsidRPr="00B32568">
        <w:rPr>
          <w:rFonts w:ascii="Times New Roman" w:eastAsiaTheme="majorEastAsia" w:hAnsi="Times New Roman" w:cstheme="majorBidi"/>
          <w:sz w:val="24"/>
          <w:szCs w:val="26"/>
        </w:rPr>
        <w:t xml:space="preserve">5. </w:t>
      </w:r>
      <w:r w:rsidR="00B93837" w:rsidRPr="00B32568">
        <w:rPr>
          <w:rFonts w:ascii="Times New Roman" w:eastAsiaTheme="majorEastAsia" w:hAnsi="Times New Roman" w:cstheme="majorBidi"/>
          <w:sz w:val="24"/>
          <w:szCs w:val="26"/>
        </w:rPr>
        <w:t>TYPES OF EVIDENCE</w:t>
      </w:r>
      <w:bookmarkEnd w:id="10"/>
    </w:p>
    <w:p w:rsidR="00025ADF" w:rsidRPr="00B32568" w:rsidRDefault="00025ADF" w:rsidP="00EE4634">
      <w:pPr>
        <w:spacing w:after="0" w:line="240" w:lineRule="auto"/>
        <w:rPr>
          <w:rFonts w:ascii="Times New Roman" w:hAnsi="Times New Roman"/>
          <w:sz w:val="24"/>
        </w:rPr>
      </w:pPr>
    </w:p>
    <w:p w:rsidR="00334980" w:rsidRPr="00B32568" w:rsidRDefault="00334980" w:rsidP="00EE4634">
      <w:pPr>
        <w:spacing w:after="0" w:line="240" w:lineRule="auto"/>
        <w:ind w:firstLine="708"/>
        <w:jc w:val="both"/>
        <w:rPr>
          <w:rFonts w:ascii="Times New Roman" w:hAnsi="Times New Roman"/>
          <w:sz w:val="24"/>
        </w:rPr>
      </w:pPr>
      <w:r w:rsidRPr="00B32568">
        <w:rPr>
          <w:rFonts w:ascii="Times New Roman" w:hAnsi="Times New Roman"/>
          <w:sz w:val="24"/>
        </w:rPr>
        <w:t>In English law, there are different classifications of evidence that can be presented in court. In this sense, the basic division is</w:t>
      </w:r>
      <w:r w:rsidR="00F41916">
        <w:rPr>
          <w:rFonts w:ascii="Times New Roman" w:hAnsi="Times New Roman"/>
          <w:sz w:val="24"/>
        </w:rPr>
        <w:t xml:space="preserve"> as follows</w:t>
      </w:r>
      <w:r w:rsidR="00B50A65" w:rsidRPr="00B32568">
        <w:rPr>
          <w:rFonts w:ascii="Times New Roman" w:hAnsi="Times New Roman"/>
          <w:sz w:val="24"/>
        </w:rPr>
        <w:t>: oral evidence</w:t>
      </w:r>
      <w:r w:rsidR="00B50A65" w:rsidRPr="00B32568">
        <w:rPr>
          <w:rFonts w:ascii="Times New Roman" w:hAnsi="Times New Roman"/>
          <w:sz w:val="24"/>
          <w:vertAlign w:val="superscript"/>
        </w:rPr>
        <w:footnoteReference w:id="19"/>
      </w:r>
      <w:r w:rsidRPr="00B32568">
        <w:rPr>
          <w:rFonts w:ascii="Times New Roman" w:hAnsi="Times New Roman"/>
          <w:sz w:val="24"/>
        </w:rPr>
        <w:t xml:space="preserve"> - testimony of persons; real evidence</w:t>
      </w:r>
      <w:r w:rsidR="00B50A65" w:rsidRPr="00B32568">
        <w:rPr>
          <w:rFonts w:ascii="Times New Roman" w:hAnsi="Times New Roman"/>
          <w:sz w:val="24"/>
          <w:vertAlign w:val="superscript"/>
        </w:rPr>
        <w:footnoteReference w:id="20"/>
      </w:r>
      <w:r w:rsidRPr="00B32568">
        <w:rPr>
          <w:rFonts w:ascii="Times New Roman" w:hAnsi="Times New Roman"/>
          <w:sz w:val="24"/>
        </w:rPr>
        <w:t xml:space="preserve"> - objects that serve as evidence</w:t>
      </w:r>
      <w:r w:rsidR="00B50A65" w:rsidRPr="00B32568">
        <w:rPr>
          <w:rFonts w:ascii="Times New Roman" w:hAnsi="Times New Roman"/>
          <w:sz w:val="24"/>
        </w:rPr>
        <w:t>,</w:t>
      </w:r>
      <w:r w:rsidRPr="00B32568">
        <w:rPr>
          <w:rFonts w:ascii="Times New Roman" w:hAnsi="Times New Roman"/>
          <w:sz w:val="24"/>
        </w:rPr>
        <w:t xml:space="preserve"> and documentary evidence</w:t>
      </w:r>
      <w:r w:rsidR="00B50A65" w:rsidRPr="00B32568">
        <w:rPr>
          <w:rFonts w:ascii="Times New Roman" w:hAnsi="Times New Roman"/>
          <w:sz w:val="24"/>
          <w:vertAlign w:val="superscript"/>
        </w:rPr>
        <w:footnoteReference w:id="21"/>
      </w:r>
      <w:r w:rsidRPr="00B32568">
        <w:rPr>
          <w:rFonts w:ascii="Times New Roman" w:hAnsi="Times New Roman"/>
          <w:sz w:val="24"/>
        </w:rPr>
        <w:t xml:space="preserve"> - different types of documents. Computer printouts have a special status.</w:t>
      </w:r>
    </w:p>
    <w:p w:rsidR="00334980" w:rsidRPr="00B32568" w:rsidRDefault="00334980" w:rsidP="00EE4634">
      <w:pPr>
        <w:spacing w:after="0" w:line="240" w:lineRule="auto"/>
        <w:ind w:firstLine="708"/>
        <w:jc w:val="both"/>
        <w:rPr>
          <w:rFonts w:ascii="Times New Roman" w:hAnsi="Times New Roman"/>
          <w:sz w:val="24"/>
        </w:rPr>
      </w:pPr>
      <w:r w:rsidRPr="00B32568">
        <w:rPr>
          <w:rFonts w:ascii="Times New Roman" w:hAnsi="Times New Roman"/>
          <w:sz w:val="24"/>
        </w:rPr>
        <w:lastRenderedPageBreak/>
        <w:t>There is, in addition, a division into evidence in the narrower and broader sense. The first group includes testi</w:t>
      </w:r>
      <w:r w:rsidR="00E43C89" w:rsidRPr="00B32568">
        <w:rPr>
          <w:rFonts w:ascii="Times New Roman" w:hAnsi="Times New Roman"/>
          <w:sz w:val="24"/>
        </w:rPr>
        <w:t>monies of persons (defendant</w:t>
      </w:r>
      <w:r w:rsidRPr="00B32568">
        <w:rPr>
          <w:rFonts w:ascii="Times New Roman" w:hAnsi="Times New Roman"/>
          <w:sz w:val="24"/>
        </w:rPr>
        <w:t>, witnesses and experts)</w:t>
      </w:r>
      <w:r w:rsidR="00F41916">
        <w:rPr>
          <w:rFonts w:ascii="Times New Roman" w:hAnsi="Times New Roman"/>
          <w:sz w:val="24"/>
        </w:rPr>
        <w:t>,</w:t>
      </w:r>
      <w:r w:rsidRPr="00B32568">
        <w:rPr>
          <w:rFonts w:ascii="Times New Roman" w:hAnsi="Times New Roman"/>
          <w:sz w:val="24"/>
        </w:rPr>
        <w:t xml:space="preserve"> and documents and technical recordings of facts. Actual evidence falls into the second group. English law treats all hearings in the same way, i</w:t>
      </w:r>
      <w:r w:rsidR="00E43C89" w:rsidRPr="00B32568">
        <w:rPr>
          <w:rFonts w:ascii="Times New Roman" w:hAnsi="Times New Roman"/>
          <w:sz w:val="24"/>
        </w:rPr>
        <w:t>.</w:t>
      </w:r>
      <w:r w:rsidRPr="00B32568">
        <w:rPr>
          <w:rFonts w:ascii="Times New Roman" w:hAnsi="Times New Roman"/>
          <w:sz w:val="24"/>
        </w:rPr>
        <w:t>e</w:t>
      </w:r>
      <w:r w:rsidR="00E43C89" w:rsidRPr="00B32568">
        <w:rPr>
          <w:rFonts w:ascii="Times New Roman" w:hAnsi="Times New Roman"/>
          <w:sz w:val="24"/>
        </w:rPr>
        <w:t>. it also brings the testimonies</w:t>
      </w:r>
      <w:r w:rsidRPr="00B32568">
        <w:rPr>
          <w:rFonts w:ascii="Times New Roman" w:hAnsi="Times New Roman"/>
          <w:sz w:val="24"/>
        </w:rPr>
        <w:t xml:space="preserve"> of the defendant and the expert witness</w:t>
      </w:r>
      <w:r w:rsidR="00E43C89" w:rsidRPr="00B32568">
        <w:rPr>
          <w:rFonts w:ascii="Times New Roman" w:hAnsi="Times New Roman"/>
          <w:sz w:val="24"/>
        </w:rPr>
        <w:t>es</w:t>
      </w:r>
      <w:r w:rsidRPr="00B32568">
        <w:rPr>
          <w:rFonts w:ascii="Times New Roman" w:hAnsi="Times New Roman"/>
          <w:sz w:val="24"/>
        </w:rPr>
        <w:t xml:space="preserve"> under the regime of hearing witnesses.</w:t>
      </w:r>
    </w:p>
    <w:p w:rsidR="00B92277" w:rsidRPr="00B32568" w:rsidRDefault="00B92277" w:rsidP="00EE4634">
      <w:pPr>
        <w:spacing w:after="0" w:line="240" w:lineRule="auto"/>
        <w:jc w:val="both"/>
        <w:rPr>
          <w:rFonts w:ascii="Times New Roman" w:hAnsi="Times New Roman"/>
          <w:sz w:val="24"/>
        </w:rPr>
      </w:pPr>
    </w:p>
    <w:p w:rsidR="00025ADF" w:rsidRPr="00B32568" w:rsidRDefault="00E803B7" w:rsidP="00EE4634">
      <w:pPr>
        <w:keepNext/>
        <w:keepLines/>
        <w:spacing w:before="40" w:after="0" w:line="240" w:lineRule="auto"/>
        <w:jc w:val="center"/>
        <w:outlineLvl w:val="3"/>
        <w:rPr>
          <w:rFonts w:ascii="Times New Roman" w:eastAsiaTheme="majorEastAsia" w:hAnsi="Times New Roman" w:cstheme="majorBidi"/>
          <w:iCs/>
          <w:sz w:val="24"/>
          <w:szCs w:val="24"/>
        </w:rPr>
      </w:pPr>
      <w:bookmarkStart w:id="11" w:name="_Toc30112792"/>
      <w:r w:rsidRPr="00B32568">
        <w:rPr>
          <w:rFonts w:ascii="Times New Roman" w:eastAsiaTheme="majorEastAsia" w:hAnsi="Times New Roman" w:cstheme="majorBidi"/>
          <w:iCs/>
          <w:sz w:val="24"/>
          <w:szCs w:val="24"/>
        </w:rPr>
        <w:t>5.</w:t>
      </w:r>
      <w:r w:rsidR="00025ADF" w:rsidRPr="00B32568">
        <w:rPr>
          <w:rFonts w:ascii="Times New Roman" w:eastAsiaTheme="majorEastAsia" w:hAnsi="Times New Roman" w:cstheme="majorBidi"/>
          <w:iCs/>
          <w:sz w:val="24"/>
          <w:szCs w:val="24"/>
        </w:rPr>
        <w:t xml:space="preserve">1. </w:t>
      </w:r>
      <w:bookmarkEnd w:id="11"/>
      <w:r w:rsidR="00E43C89" w:rsidRPr="00B32568">
        <w:rPr>
          <w:rFonts w:ascii="Times New Roman" w:eastAsiaTheme="majorEastAsia" w:hAnsi="Times New Roman" w:cstheme="majorBidi"/>
          <w:iCs/>
          <w:sz w:val="24"/>
          <w:szCs w:val="24"/>
        </w:rPr>
        <w:t>Witness testimony</w:t>
      </w:r>
    </w:p>
    <w:p w:rsidR="00025ADF" w:rsidRPr="00B32568" w:rsidRDefault="00025ADF" w:rsidP="00EE4634">
      <w:pPr>
        <w:spacing w:after="0" w:line="240" w:lineRule="auto"/>
        <w:rPr>
          <w:rFonts w:ascii="Times New Roman" w:hAnsi="Times New Roman"/>
          <w:b/>
          <w:sz w:val="24"/>
        </w:rPr>
      </w:pPr>
    </w:p>
    <w:p w:rsidR="00E40D24" w:rsidRPr="00B32568" w:rsidRDefault="00E40D24" w:rsidP="00EE4634">
      <w:pPr>
        <w:spacing w:after="0" w:line="240" w:lineRule="auto"/>
        <w:ind w:firstLine="708"/>
        <w:jc w:val="both"/>
        <w:rPr>
          <w:rFonts w:ascii="Times New Roman" w:hAnsi="Times New Roman"/>
          <w:sz w:val="24"/>
        </w:rPr>
      </w:pPr>
      <w:r w:rsidRPr="00B32568">
        <w:rPr>
          <w:rFonts w:ascii="Times New Roman" w:hAnsi="Times New Roman"/>
          <w:sz w:val="24"/>
        </w:rPr>
        <w:t>Until the end of the 19th century, in criminal proceedings before English courts, English law excluded certain categories of persons from the possibility of testifying. The reasons were age, intellectual abilit</w:t>
      </w:r>
      <w:r w:rsidR="00912B70" w:rsidRPr="00B32568">
        <w:rPr>
          <w:rFonts w:ascii="Times New Roman" w:hAnsi="Times New Roman"/>
          <w:sz w:val="24"/>
        </w:rPr>
        <w:t>ies</w:t>
      </w:r>
      <w:r w:rsidRPr="00B32568">
        <w:rPr>
          <w:rFonts w:ascii="Times New Roman" w:hAnsi="Times New Roman"/>
          <w:sz w:val="24"/>
        </w:rPr>
        <w:t xml:space="preserve">, and reasons of religion and morality. In the meantime, a large number of particular laws related to evidence (so-called Oath Acts, Evidence Acts, Criminal Evidence Act, Police and Criminal Evidence Act) were introduced </w:t>
      </w:r>
      <w:r w:rsidR="00912B70" w:rsidRPr="00B32568">
        <w:rPr>
          <w:rFonts w:ascii="Times New Roman" w:hAnsi="Times New Roman"/>
          <w:sz w:val="24"/>
        </w:rPr>
        <w:t xml:space="preserve">as well as </w:t>
      </w:r>
      <w:r w:rsidRPr="00B32568">
        <w:rPr>
          <w:rFonts w:ascii="Times New Roman" w:hAnsi="Times New Roman"/>
          <w:sz w:val="24"/>
        </w:rPr>
        <w:t xml:space="preserve">free evaluation of evidence, thus abandoning the general categorization of witnesses </w:t>
      </w:r>
      <w:r w:rsidR="00912B70" w:rsidRPr="00B32568">
        <w:rPr>
          <w:rFonts w:ascii="Times New Roman" w:hAnsi="Times New Roman"/>
          <w:sz w:val="24"/>
        </w:rPr>
        <w:t xml:space="preserve">into </w:t>
      </w:r>
      <w:r w:rsidRPr="00B32568">
        <w:rPr>
          <w:rFonts w:ascii="Times New Roman" w:hAnsi="Times New Roman"/>
          <w:sz w:val="24"/>
        </w:rPr>
        <w:t>credible and unreliable</w:t>
      </w:r>
      <w:r w:rsidR="00912B70" w:rsidRPr="00B32568">
        <w:rPr>
          <w:rFonts w:ascii="Times New Roman" w:hAnsi="Times New Roman"/>
          <w:sz w:val="24"/>
        </w:rPr>
        <w:t>,</w:t>
      </w:r>
      <w:r w:rsidRPr="00B32568">
        <w:rPr>
          <w:rFonts w:ascii="Times New Roman" w:hAnsi="Times New Roman"/>
          <w:sz w:val="24"/>
        </w:rPr>
        <w:t xml:space="preserve"> and left </w:t>
      </w:r>
      <w:r w:rsidR="00912B70" w:rsidRPr="00B32568">
        <w:rPr>
          <w:rFonts w:ascii="Times New Roman" w:hAnsi="Times New Roman"/>
          <w:sz w:val="24"/>
        </w:rPr>
        <w:t xml:space="preserve">it </w:t>
      </w:r>
      <w:r w:rsidRPr="00B32568">
        <w:rPr>
          <w:rFonts w:ascii="Times New Roman" w:hAnsi="Times New Roman"/>
          <w:sz w:val="24"/>
        </w:rPr>
        <w:t xml:space="preserve">to the court for assessment as a </w:t>
      </w:r>
      <w:proofErr w:type="spellStart"/>
      <w:r w:rsidRPr="00B32568">
        <w:rPr>
          <w:rFonts w:ascii="Times New Roman" w:hAnsi="Times New Roman"/>
          <w:i/>
          <w:sz w:val="24"/>
        </w:rPr>
        <w:t>questio</w:t>
      </w:r>
      <w:proofErr w:type="spellEnd"/>
      <w:r w:rsidRPr="00B32568">
        <w:rPr>
          <w:rFonts w:ascii="Times New Roman" w:hAnsi="Times New Roman"/>
          <w:i/>
          <w:sz w:val="24"/>
        </w:rPr>
        <w:t xml:space="preserve"> </w:t>
      </w:r>
      <w:proofErr w:type="spellStart"/>
      <w:r w:rsidRPr="00B32568">
        <w:rPr>
          <w:rFonts w:ascii="Times New Roman" w:hAnsi="Times New Roman"/>
          <w:i/>
          <w:sz w:val="24"/>
        </w:rPr>
        <w:t>facti</w:t>
      </w:r>
      <w:proofErr w:type="spellEnd"/>
      <w:r w:rsidRPr="00B32568">
        <w:rPr>
          <w:rFonts w:ascii="Times New Roman" w:hAnsi="Times New Roman"/>
          <w:sz w:val="24"/>
        </w:rPr>
        <w:t>.</w:t>
      </w:r>
    </w:p>
    <w:p w:rsidR="00E40D24" w:rsidRPr="00B32568" w:rsidRDefault="00E40D24" w:rsidP="00EE4634">
      <w:pPr>
        <w:spacing w:after="0" w:line="240" w:lineRule="auto"/>
        <w:ind w:firstLine="708"/>
        <w:jc w:val="both"/>
        <w:rPr>
          <w:rFonts w:ascii="Times New Roman" w:hAnsi="Times New Roman"/>
          <w:sz w:val="24"/>
        </w:rPr>
      </w:pPr>
      <w:r w:rsidRPr="00B32568">
        <w:rPr>
          <w:rFonts w:ascii="Times New Roman" w:hAnsi="Times New Roman"/>
          <w:sz w:val="24"/>
        </w:rPr>
        <w:t xml:space="preserve">Today, in principle, everyone can testify, and whether a person is capable of testifying - the judge assesses in each </w:t>
      </w:r>
      <w:r w:rsidR="000E26B6" w:rsidRPr="00B32568">
        <w:rPr>
          <w:rFonts w:ascii="Times New Roman" w:hAnsi="Times New Roman"/>
          <w:sz w:val="24"/>
        </w:rPr>
        <w:t xml:space="preserve">individual </w:t>
      </w:r>
      <w:r w:rsidRPr="00B32568">
        <w:rPr>
          <w:rFonts w:ascii="Times New Roman" w:hAnsi="Times New Roman"/>
          <w:sz w:val="24"/>
        </w:rPr>
        <w:t xml:space="preserve">case. He examines the so-called </w:t>
      </w:r>
      <w:r w:rsidR="000E26B6" w:rsidRPr="00B32568">
        <w:rPr>
          <w:rFonts w:ascii="Times New Roman" w:hAnsi="Times New Roman"/>
          <w:sz w:val="24"/>
        </w:rPr>
        <w:t xml:space="preserve">competence of </w:t>
      </w:r>
      <w:r w:rsidR="00F41916" w:rsidRPr="00B32568">
        <w:rPr>
          <w:rFonts w:ascii="Times New Roman" w:hAnsi="Times New Roman"/>
          <w:sz w:val="24"/>
        </w:rPr>
        <w:t>witnesses, which</w:t>
      </w:r>
      <w:r w:rsidRPr="00B32568">
        <w:rPr>
          <w:rFonts w:ascii="Times New Roman" w:hAnsi="Times New Roman"/>
          <w:sz w:val="24"/>
        </w:rPr>
        <w:t xml:space="preserve"> consists in </w:t>
      </w:r>
      <w:r w:rsidR="000E26B6" w:rsidRPr="00B32568">
        <w:rPr>
          <w:rFonts w:ascii="Times New Roman" w:hAnsi="Times New Roman"/>
          <w:sz w:val="24"/>
        </w:rPr>
        <w:t xml:space="preserve">the </w:t>
      </w:r>
      <w:r w:rsidRPr="00B32568">
        <w:rPr>
          <w:rFonts w:ascii="Times New Roman" w:hAnsi="Times New Roman"/>
          <w:sz w:val="24"/>
        </w:rPr>
        <w:t xml:space="preserve">judge having to </w:t>
      </w:r>
      <w:r w:rsidR="000E26B6" w:rsidRPr="00B32568">
        <w:rPr>
          <w:rFonts w:ascii="Times New Roman" w:hAnsi="Times New Roman"/>
          <w:sz w:val="24"/>
        </w:rPr>
        <w:t xml:space="preserve">be assured </w:t>
      </w:r>
      <w:r w:rsidRPr="00B32568">
        <w:rPr>
          <w:rFonts w:ascii="Times New Roman" w:hAnsi="Times New Roman"/>
          <w:sz w:val="24"/>
        </w:rPr>
        <w:t xml:space="preserve">that the person is mentally mature to be able to understand the subject </w:t>
      </w:r>
      <w:r w:rsidR="000E26B6" w:rsidRPr="00B32568">
        <w:rPr>
          <w:rFonts w:ascii="Times New Roman" w:hAnsi="Times New Roman"/>
          <w:sz w:val="24"/>
        </w:rPr>
        <w:t xml:space="preserve">matter </w:t>
      </w:r>
      <w:r w:rsidRPr="00B32568">
        <w:rPr>
          <w:rFonts w:ascii="Times New Roman" w:hAnsi="Times New Roman"/>
          <w:sz w:val="24"/>
        </w:rPr>
        <w:t xml:space="preserve">of </w:t>
      </w:r>
      <w:r w:rsidR="00F41916" w:rsidRPr="00B32568">
        <w:rPr>
          <w:rFonts w:ascii="Times New Roman" w:hAnsi="Times New Roman"/>
          <w:sz w:val="24"/>
        </w:rPr>
        <w:t>proving</w:t>
      </w:r>
      <w:r w:rsidRPr="00B32568">
        <w:rPr>
          <w:rFonts w:ascii="Times New Roman" w:hAnsi="Times New Roman"/>
          <w:sz w:val="24"/>
        </w:rPr>
        <w:t xml:space="preserve">. According to this understanding, children can also be witnesses, with the difference that the judge can decide that the child gives testimony without an oath, if </w:t>
      </w:r>
      <w:r w:rsidR="00305C32" w:rsidRPr="00B32568">
        <w:rPr>
          <w:rFonts w:ascii="Times New Roman" w:hAnsi="Times New Roman"/>
          <w:sz w:val="24"/>
        </w:rPr>
        <w:t xml:space="preserve">he </w:t>
      </w:r>
      <w:r w:rsidRPr="00B32568">
        <w:rPr>
          <w:rFonts w:ascii="Times New Roman" w:hAnsi="Times New Roman"/>
          <w:sz w:val="24"/>
        </w:rPr>
        <w:t>assesses that it is a so-called tender years.</w:t>
      </w:r>
      <w:r w:rsidR="00305C32" w:rsidRPr="00B32568">
        <w:rPr>
          <w:rFonts w:ascii="Times New Roman" w:hAnsi="Times New Roman"/>
          <w:sz w:val="24"/>
          <w:vertAlign w:val="superscript"/>
        </w:rPr>
        <w:footnoteReference w:id="22"/>
      </w:r>
    </w:p>
    <w:p w:rsidR="00025ADF" w:rsidRPr="00B32568" w:rsidRDefault="00025ADF" w:rsidP="00EE4634">
      <w:pPr>
        <w:spacing w:after="0" w:line="240" w:lineRule="auto"/>
        <w:ind w:firstLine="708"/>
        <w:jc w:val="both"/>
        <w:rPr>
          <w:rFonts w:ascii="Times New Roman" w:hAnsi="Times New Roman"/>
          <w:sz w:val="24"/>
          <w:szCs w:val="24"/>
        </w:rPr>
      </w:pPr>
    </w:p>
    <w:p w:rsidR="00025ADF" w:rsidRPr="00B32568" w:rsidRDefault="00954DE8" w:rsidP="00EE4634">
      <w:pPr>
        <w:keepNext/>
        <w:keepLines/>
        <w:spacing w:before="40" w:after="0" w:line="240" w:lineRule="auto"/>
        <w:jc w:val="center"/>
        <w:outlineLvl w:val="3"/>
        <w:rPr>
          <w:rFonts w:ascii="Times New Roman" w:eastAsiaTheme="majorEastAsia" w:hAnsi="Times New Roman" w:cstheme="majorBidi"/>
          <w:iCs/>
          <w:sz w:val="24"/>
          <w:szCs w:val="24"/>
        </w:rPr>
      </w:pPr>
      <w:bookmarkStart w:id="12" w:name="_Toc30112793"/>
      <w:r w:rsidRPr="00B32568">
        <w:rPr>
          <w:rFonts w:ascii="Times New Roman" w:eastAsiaTheme="majorEastAsia" w:hAnsi="Times New Roman" w:cstheme="majorBidi"/>
          <w:iCs/>
          <w:sz w:val="24"/>
          <w:szCs w:val="24"/>
        </w:rPr>
        <w:t>5.</w:t>
      </w:r>
      <w:r w:rsidR="00025ADF" w:rsidRPr="00B32568">
        <w:rPr>
          <w:rFonts w:ascii="Times New Roman" w:eastAsiaTheme="majorEastAsia" w:hAnsi="Times New Roman" w:cstheme="majorBidi"/>
          <w:iCs/>
          <w:sz w:val="24"/>
          <w:szCs w:val="24"/>
        </w:rPr>
        <w:t xml:space="preserve">2. </w:t>
      </w:r>
      <w:r w:rsidR="00305C32" w:rsidRPr="00B32568">
        <w:rPr>
          <w:rFonts w:ascii="Times New Roman" w:eastAsiaTheme="majorEastAsia" w:hAnsi="Times New Roman" w:cstheme="majorBidi"/>
          <w:iCs/>
          <w:sz w:val="24"/>
          <w:szCs w:val="24"/>
        </w:rPr>
        <w:t xml:space="preserve">Testimony of accused as „witness in his own matter“ </w:t>
      </w:r>
      <w:bookmarkEnd w:id="12"/>
    </w:p>
    <w:p w:rsidR="00025ADF" w:rsidRPr="00B32568" w:rsidRDefault="00025ADF" w:rsidP="00EE4634">
      <w:pPr>
        <w:spacing w:after="0" w:line="240" w:lineRule="auto"/>
        <w:rPr>
          <w:rFonts w:ascii="Times New Roman" w:hAnsi="Times New Roman"/>
          <w:b/>
          <w:sz w:val="24"/>
        </w:rPr>
      </w:pPr>
    </w:p>
    <w:p w:rsidR="00E40D24" w:rsidRPr="00B32568" w:rsidRDefault="00E32A72" w:rsidP="00EE4634">
      <w:pPr>
        <w:spacing w:after="0" w:line="240" w:lineRule="auto"/>
        <w:ind w:firstLine="708"/>
        <w:jc w:val="both"/>
        <w:rPr>
          <w:rFonts w:ascii="Times New Roman" w:hAnsi="Times New Roman"/>
          <w:sz w:val="24"/>
        </w:rPr>
      </w:pPr>
      <w:r w:rsidRPr="00B32568">
        <w:rPr>
          <w:rFonts w:ascii="Times New Roman" w:hAnsi="Times New Roman"/>
          <w:sz w:val="24"/>
        </w:rPr>
        <w:t>The d</w:t>
      </w:r>
      <w:r w:rsidR="00E40D24" w:rsidRPr="00B32568">
        <w:rPr>
          <w:rFonts w:ascii="Times New Roman" w:hAnsi="Times New Roman"/>
          <w:sz w:val="24"/>
        </w:rPr>
        <w:t xml:space="preserve">efendant in criminal proceedings under English law has no obligation to testify. Giving </w:t>
      </w:r>
      <w:r w:rsidRPr="00B32568">
        <w:rPr>
          <w:rFonts w:ascii="Times New Roman" w:hAnsi="Times New Roman"/>
          <w:sz w:val="24"/>
        </w:rPr>
        <w:t xml:space="preserve">testimony </w:t>
      </w:r>
      <w:r w:rsidR="00E40D24" w:rsidRPr="00B32568">
        <w:rPr>
          <w:rFonts w:ascii="Times New Roman" w:hAnsi="Times New Roman"/>
          <w:sz w:val="24"/>
        </w:rPr>
        <w:t>is his right</w:t>
      </w:r>
      <w:r w:rsidRPr="00B32568">
        <w:rPr>
          <w:rFonts w:ascii="Times New Roman" w:hAnsi="Times New Roman"/>
          <w:sz w:val="24"/>
          <w:vertAlign w:val="superscript"/>
        </w:rPr>
        <w:footnoteReference w:id="23"/>
      </w:r>
      <w:r w:rsidR="00E40D24" w:rsidRPr="00B32568">
        <w:rPr>
          <w:rFonts w:ascii="Times New Roman" w:hAnsi="Times New Roman"/>
          <w:sz w:val="24"/>
        </w:rPr>
        <w:t xml:space="preserve">, not his duty. Therefore, the </w:t>
      </w:r>
      <w:r w:rsidRPr="00B32568">
        <w:rPr>
          <w:rFonts w:ascii="Times New Roman" w:hAnsi="Times New Roman"/>
          <w:sz w:val="24"/>
        </w:rPr>
        <w:t xml:space="preserve">prosecutor </w:t>
      </w:r>
      <w:r w:rsidR="00E40D24" w:rsidRPr="00B32568">
        <w:rPr>
          <w:rFonts w:ascii="Times New Roman" w:hAnsi="Times New Roman"/>
          <w:sz w:val="24"/>
        </w:rPr>
        <w:t xml:space="preserve">never calls him as a "witness in his own matter", but he offers himself if he wants to </w:t>
      </w:r>
      <w:r w:rsidRPr="00B32568">
        <w:rPr>
          <w:rFonts w:ascii="Times New Roman" w:hAnsi="Times New Roman"/>
          <w:sz w:val="24"/>
        </w:rPr>
        <w:t xml:space="preserve">give </w:t>
      </w:r>
      <w:r w:rsidR="00E40D24" w:rsidRPr="00B32568">
        <w:rPr>
          <w:rFonts w:ascii="Times New Roman" w:hAnsi="Times New Roman"/>
          <w:sz w:val="24"/>
        </w:rPr>
        <w:t>testi</w:t>
      </w:r>
      <w:r w:rsidRPr="00B32568">
        <w:rPr>
          <w:rFonts w:ascii="Times New Roman" w:hAnsi="Times New Roman"/>
          <w:sz w:val="24"/>
        </w:rPr>
        <w:t>mony</w:t>
      </w:r>
      <w:r w:rsidR="00E40D24" w:rsidRPr="00B32568">
        <w:rPr>
          <w:rFonts w:ascii="Times New Roman" w:hAnsi="Times New Roman"/>
          <w:sz w:val="24"/>
        </w:rPr>
        <w:t xml:space="preserve"> or if he wants to testify against an accomplice.</w:t>
      </w:r>
    </w:p>
    <w:p w:rsidR="00E40D24" w:rsidRPr="00B32568" w:rsidRDefault="00E40D24" w:rsidP="00EE4634">
      <w:pPr>
        <w:spacing w:after="0" w:line="240" w:lineRule="auto"/>
        <w:ind w:firstLine="708"/>
        <w:jc w:val="both"/>
        <w:rPr>
          <w:rFonts w:ascii="Times New Roman" w:hAnsi="Times New Roman"/>
          <w:sz w:val="24"/>
        </w:rPr>
      </w:pPr>
      <w:r w:rsidRPr="00B32568">
        <w:rPr>
          <w:rFonts w:ascii="Times New Roman" w:hAnsi="Times New Roman"/>
          <w:sz w:val="24"/>
        </w:rPr>
        <w:t>The choice of the accused not to be a "witness in his own case" is his right to be silent, or a privilege against self-incrimination. If, on the other hand, he decides to testify against an accomplice, the prosecution may offer him as a witness only after the proceedings against him have been completed, i</w:t>
      </w:r>
      <w:r w:rsidR="00E32A72" w:rsidRPr="00B32568">
        <w:rPr>
          <w:rFonts w:ascii="Times New Roman" w:hAnsi="Times New Roman"/>
          <w:sz w:val="24"/>
        </w:rPr>
        <w:t>.</w:t>
      </w:r>
      <w:r w:rsidRPr="00B32568">
        <w:rPr>
          <w:rFonts w:ascii="Times New Roman" w:hAnsi="Times New Roman"/>
          <w:sz w:val="24"/>
        </w:rPr>
        <w:t xml:space="preserve">e. if he was sentenced immediately after the confession </w:t>
      </w:r>
      <w:r w:rsidR="00E32A72" w:rsidRPr="00B32568">
        <w:rPr>
          <w:rFonts w:ascii="Times New Roman" w:hAnsi="Times New Roman"/>
          <w:sz w:val="24"/>
        </w:rPr>
        <w:t xml:space="preserve">upon being read the charges, </w:t>
      </w:r>
      <w:r w:rsidRPr="00B32568">
        <w:rPr>
          <w:rFonts w:ascii="Times New Roman" w:hAnsi="Times New Roman"/>
          <w:sz w:val="24"/>
        </w:rPr>
        <w:t>or if the jury acquitted him.</w:t>
      </w:r>
      <w:r w:rsidR="00E32A72" w:rsidRPr="00B32568">
        <w:rPr>
          <w:rFonts w:ascii="Times New Roman" w:hAnsi="Times New Roman"/>
          <w:sz w:val="24"/>
          <w:vertAlign w:val="superscript"/>
        </w:rPr>
        <w:t xml:space="preserve"> </w:t>
      </w:r>
      <w:r w:rsidR="00E32A72" w:rsidRPr="00B32568">
        <w:rPr>
          <w:rFonts w:ascii="Times New Roman" w:hAnsi="Times New Roman"/>
          <w:sz w:val="24"/>
          <w:vertAlign w:val="superscript"/>
        </w:rPr>
        <w:footnoteReference w:id="24"/>
      </w:r>
      <w:r w:rsidRPr="00B32568">
        <w:rPr>
          <w:rFonts w:ascii="Times New Roman" w:hAnsi="Times New Roman"/>
          <w:sz w:val="24"/>
        </w:rPr>
        <w:t xml:space="preserve"> However, the "</w:t>
      </w:r>
      <w:r w:rsidR="00E32A72" w:rsidRPr="00B32568">
        <w:rPr>
          <w:rFonts w:ascii="Times New Roman" w:hAnsi="Times New Roman"/>
          <w:sz w:val="24"/>
        </w:rPr>
        <w:t xml:space="preserve">Queen's </w:t>
      </w:r>
      <w:r w:rsidRPr="00B32568">
        <w:rPr>
          <w:rFonts w:ascii="Times New Roman" w:hAnsi="Times New Roman"/>
          <w:sz w:val="24"/>
        </w:rPr>
        <w:t>evidence" consisting of the testimony of such a witness (sometimes obtained by prosecutors through "tra</w:t>
      </w:r>
      <w:r w:rsidR="00E32A72" w:rsidRPr="00B32568">
        <w:rPr>
          <w:rFonts w:ascii="Times New Roman" w:hAnsi="Times New Roman"/>
          <w:sz w:val="24"/>
        </w:rPr>
        <w:t>de</w:t>
      </w:r>
      <w:r w:rsidRPr="00B32568">
        <w:rPr>
          <w:rFonts w:ascii="Times New Roman" w:hAnsi="Times New Roman"/>
          <w:sz w:val="24"/>
        </w:rPr>
        <w:t>" - in which a person's willingness is rewarded with a milder qualification in the charge</w:t>
      </w:r>
      <w:r w:rsidR="00E32A72" w:rsidRPr="00B32568">
        <w:rPr>
          <w:rFonts w:ascii="Times New Roman" w:hAnsi="Times New Roman"/>
          <w:sz w:val="24"/>
        </w:rPr>
        <w:t>s</w:t>
      </w:r>
      <w:r w:rsidRPr="00B32568">
        <w:rPr>
          <w:rFonts w:ascii="Times New Roman" w:hAnsi="Times New Roman"/>
          <w:sz w:val="24"/>
        </w:rPr>
        <w:t xml:space="preserve">) had to be </w:t>
      </w:r>
      <w:r w:rsidR="00F41916" w:rsidRPr="00B32568">
        <w:rPr>
          <w:rFonts w:ascii="Times New Roman" w:hAnsi="Times New Roman"/>
          <w:sz w:val="24"/>
        </w:rPr>
        <w:t>substantiated</w:t>
      </w:r>
      <w:r w:rsidR="00E32A72" w:rsidRPr="00B32568">
        <w:rPr>
          <w:rFonts w:ascii="Times New Roman" w:hAnsi="Times New Roman"/>
          <w:sz w:val="24"/>
        </w:rPr>
        <w:t xml:space="preserve"> </w:t>
      </w:r>
      <w:r w:rsidRPr="00B32568">
        <w:rPr>
          <w:rFonts w:ascii="Times New Roman" w:hAnsi="Times New Roman"/>
          <w:sz w:val="24"/>
        </w:rPr>
        <w:t>by other evidence until 1994.</w:t>
      </w:r>
    </w:p>
    <w:p w:rsidR="00E40D24" w:rsidRPr="00B32568" w:rsidRDefault="00E40D24" w:rsidP="00EE4634">
      <w:pPr>
        <w:spacing w:after="0" w:line="240" w:lineRule="auto"/>
        <w:ind w:firstLine="708"/>
        <w:jc w:val="both"/>
        <w:rPr>
          <w:rFonts w:ascii="Times New Roman" w:hAnsi="Times New Roman"/>
          <w:sz w:val="24"/>
        </w:rPr>
      </w:pPr>
      <w:r w:rsidRPr="00B32568">
        <w:rPr>
          <w:rFonts w:ascii="Times New Roman" w:hAnsi="Times New Roman"/>
          <w:sz w:val="24"/>
        </w:rPr>
        <w:t xml:space="preserve">The </w:t>
      </w:r>
      <w:r w:rsidR="00E32A72" w:rsidRPr="00B32568">
        <w:rPr>
          <w:rFonts w:ascii="Times New Roman" w:hAnsi="Times New Roman"/>
          <w:sz w:val="24"/>
        </w:rPr>
        <w:t xml:space="preserve">1994 </w:t>
      </w:r>
      <w:r w:rsidRPr="00B32568">
        <w:rPr>
          <w:rFonts w:ascii="Times New Roman" w:hAnsi="Times New Roman"/>
          <w:sz w:val="24"/>
        </w:rPr>
        <w:t>Criminal Justice and Public Order Act</w:t>
      </w:r>
      <w:r w:rsidR="00E32A72" w:rsidRPr="00B32568">
        <w:rPr>
          <w:rFonts w:ascii="Times New Roman" w:hAnsi="Times New Roman"/>
          <w:sz w:val="24"/>
          <w:vertAlign w:val="superscript"/>
        </w:rPr>
        <w:footnoteReference w:id="25"/>
      </w:r>
      <w:r w:rsidRPr="00B32568">
        <w:rPr>
          <w:rFonts w:ascii="Times New Roman" w:hAnsi="Times New Roman"/>
          <w:sz w:val="24"/>
        </w:rPr>
        <w:t>, although it does not deny the right to remain silent, nor does it create an obligation for the accused to testify, or does not provide for a sanction for him if he refuses to do so - creates some pressure on the accused t</w:t>
      </w:r>
      <w:r w:rsidR="00E32A72" w:rsidRPr="00B32568">
        <w:rPr>
          <w:rFonts w:ascii="Times New Roman" w:hAnsi="Times New Roman"/>
          <w:sz w:val="24"/>
        </w:rPr>
        <w:t xml:space="preserve">o cooperate with </w:t>
      </w:r>
      <w:r w:rsidR="00E32A72" w:rsidRPr="00B32568">
        <w:rPr>
          <w:rFonts w:ascii="Times New Roman" w:hAnsi="Times New Roman"/>
          <w:sz w:val="24"/>
        </w:rPr>
        <w:lastRenderedPageBreak/>
        <w:t>the prosecution</w:t>
      </w:r>
      <w:r w:rsidRPr="00B32568">
        <w:rPr>
          <w:rFonts w:ascii="Times New Roman" w:hAnsi="Times New Roman"/>
          <w:sz w:val="24"/>
        </w:rPr>
        <w:t xml:space="preserve"> authorities and </w:t>
      </w:r>
      <w:r w:rsidR="00E32A72" w:rsidRPr="00B32568">
        <w:rPr>
          <w:rFonts w:ascii="Times New Roman" w:hAnsi="Times New Roman"/>
          <w:sz w:val="24"/>
        </w:rPr>
        <w:t xml:space="preserve">to </w:t>
      </w:r>
      <w:r w:rsidRPr="00B32568">
        <w:rPr>
          <w:rFonts w:ascii="Times New Roman" w:hAnsi="Times New Roman"/>
          <w:sz w:val="24"/>
        </w:rPr>
        <w:t xml:space="preserve">present his own defense. These provisions unequivocally turn "privilege against self-accusation" into </w:t>
      </w:r>
      <w:proofErr w:type="spellStart"/>
      <w:r w:rsidRPr="00B32568">
        <w:rPr>
          <w:rFonts w:ascii="Times New Roman" w:hAnsi="Times New Roman"/>
          <w:i/>
          <w:sz w:val="24"/>
        </w:rPr>
        <w:t>privilegium</w:t>
      </w:r>
      <w:proofErr w:type="spellEnd"/>
      <w:r w:rsidRPr="00B32568">
        <w:rPr>
          <w:rFonts w:ascii="Times New Roman" w:hAnsi="Times New Roman"/>
          <w:i/>
          <w:sz w:val="24"/>
        </w:rPr>
        <w:t xml:space="preserve"> </w:t>
      </w:r>
      <w:proofErr w:type="spellStart"/>
      <w:r w:rsidRPr="00B32568">
        <w:rPr>
          <w:rFonts w:ascii="Times New Roman" w:hAnsi="Times New Roman"/>
          <w:i/>
          <w:sz w:val="24"/>
        </w:rPr>
        <w:t>odiosum</w:t>
      </w:r>
      <w:proofErr w:type="spellEnd"/>
      <w:r w:rsidRPr="00B32568">
        <w:rPr>
          <w:rFonts w:ascii="Times New Roman" w:hAnsi="Times New Roman"/>
          <w:sz w:val="24"/>
        </w:rPr>
        <w:t>.</w:t>
      </w:r>
      <w:r w:rsidR="00E32A72" w:rsidRPr="00B32568">
        <w:rPr>
          <w:rFonts w:ascii="Times New Roman" w:hAnsi="Times New Roman"/>
          <w:sz w:val="24"/>
          <w:vertAlign w:val="superscript"/>
        </w:rPr>
        <w:footnoteReference w:id="26"/>
      </w:r>
    </w:p>
    <w:p w:rsidR="00E40D24" w:rsidRDefault="00E40D24" w:rsidP="00EE4634">
      <w:pPr>
        <w:spacing w:after="0" w:line="240" w:lineRule="auto"/>
        <w:ind w:firstLine="708"/>
        <w:jc w:val="both"/>
        <w:rPr>
          <w:rFonts w:ascii="Times New Roman" w:hAnsi="Times New Roman"/>
          <w:sz w:val="24"/>
        </w:rPr>
      </w:pPr>
      <w:proofErr w:type="gramStart"/>
      <w:r w:rsidRPr="00B32568">
        <w:rPr>
          <w:rFonts w:ascii="Times New Roman" w:hAnsi="Times New Roman"/>
          <w:sz w:val="24"/>
        </w:rPr>
        <w:t>Finally, if the defendant decides to "testify in his own case" - he is subject to the same regime as the defense witnesses.</w:t>
      </w:r>
      <w:proofErr w:type="gramEnd"/>
      <w:r w:rsidRPr="00B32568">
        <w:rPr>
          <w:rFonts w:ascii="Times New Roman" w:hAnsi="Times New Roman"/>
          <w:sz w:val="24"/>
        </w:rPr>
        <w:t xml:space="preserve"> He will </w:t>
      </w:r>
      <w:r w:rsidR="001747D0" w:rsidRPr="00B32568">
        <w:rPr>
          <w:rFonts w:ascii="Times New Roman" w:hAnsi="Times New Roman"/>
          <w:sz w:val="24"/>
        </w:rPr>
        <w:t xml:space="preserve">go through </w:t>
      </w:r>
      <w:r w:rsidRPr="00B32568">
        <w:rPr>
          <w:rFonts w:ascii="Times New Roman" w:hAnsi="Times New Roman"/>
          <w:sz w:val="24"/>
        </w:rPr>
        <w:t>the main examination, but also the cross-examination by the prosecutor.</w:t>
      </w:r>
    </w:p>
    <w:p w:rsidR="00EA525D" w:rsidRPr="00B32568" w:rsidRDefault="00EA525D" w:rsidP="00EE4634">
      <w:pPr>
        <w:spacing w:after="0" w:line="240" w:lineRule="auto"/>
        <w:ind w:firstLine="708"/>
        <w:jc w:val="both"/>
        <w:rPr>
          <w:rFonts w:ascii="Times New Roman" w:hAnsi="Times New Roman"/>
          <w:sz w:val="24"/>
        </w:rPr>
      </w:pPr>
    </w:p>
    <w:p w:rsidR="00025ADF" w:rsidRPr="00B32568" w:rsidRDefault="009B4A03" w:rsidP="00EE4634">
      <w:pPr>
        <w:keepNext/>
        <w:keepLines/>
        <w:spacing w:before="40" w:after="0" w:line="240" w:lineRule="auto"/>
        <w:jc w:val="center"/>
        <w:outlineLvl w:val="3"/>
        <w:rPr>
          <w:rFonts w:ascii="Times New Roman" w:eastAsiaTheme="majorEastAsia" w:hAnsi="Times New Roman" w:cstheme="majorBidi"/>
          <w:iCs/>
          <w:sz w:val="24"/>
          <w:szCs w:val="24"/>
        </w:rPr>
      </w:pPr>
      <w:bookmarkStart w:id="13" w:name="_Toc30112794"/>
      <w:r w:rsidRPr="00B32568">
        <w:rPr>
          <w:rFonts w:ascii="Times New Roman" w:eastAsiaTheme="majorEastAsia" w:hAnsi="Times New Roman" w:cstheme="majorBidi"/>
          <w:iCs/>
          <w:sz w:val="24"/>
          <w:szCs w:val="24"/>
        </w:rPr>
        <w:t>5.</w:t>
      </w:r>
      <w:r w:rsidR="00025ADF" w:rsidRPr="00B32568">
        <w:rPr>
          <w:rFonts w:ascii="Times New Roman" w:eastAsiaTheme="majorEastAsia" w:hAnsi="Times New Roman" w:cstheme="majorBidi"/>
          <w:iCs/>
          <w:sz w:val="24"/>
          <w:szCs w:val="24"/>
        </w:rPr>
        <w:t xml:space="preserve">3. </w:t>
      </w:r>
      <w:r w:rsidR="00B57DB8" w:rsidRPr="00B32568">
        <w:rPr>
          <w:rFonts w:ascii="Times New Roman" w:eastAsiaTheme="majorEastAsia" w:hAnsi="Times New Roman" w:cstheme="majorBidi"/>
          <w:iCs/>
          <w:sz w:val="24"/>
          <w:szCs w:val="24"/>
        </w:rPr>
        <w:t xml:space="preserve">Expert witness testimony </w:t>
      </w:r>
      <w:bookmarkEnd w:id="13"/>
    </w:p>
    <w:p w:rsidR="00025ADF" w:rsidRPr="00B32568" w:rsidRDefault="00025ADF" w:rsidP="00EE4634">
      <w:pPr>
        <w:spacing w:after="0" w:line="240" w:lineRule="auto"/>
        <w:rPr>
          <w:rFonts w:ascii="Times New Roman" w:hAnsi="Times New Roman"/>
          <w:b/>
          <w:sz w:val="24"/>
        </w:rPr>
      </w:pPr>
    </w:p>
    <w:p w:rsidR="00E40D24" w:rsidRPr="00B32568" w:rsidRDefault="00E40D24" w:rsidP="00EE4634">
      <w:pPr>
        <w:spacing w:after="0" w:line="240" w:lineRule="auto"/>
        <w:ind w:firstLine="708"/>
        <w:jc w:val="both"/>
        <w:rPr>
          <w:rFonts w:ascii="Times New Roman" w:hAnsi="Times New Roman"/>
          <w:sz w:val="24"/>
        </w:rPr>
      </w:pPr>
      <w:r w:rsidRPr="00B32568">
        <w:rPr>
          <w:rFonts w:ascii="Times New Roman" w:hAnsi="Times New Roman"/>
          <w:sz w:val="24"/>
        </w:rPr>
        <w:t>Although in English law experts</w:t>
      </w:r>
      <w:r w:rsidR="00B5208E" w:rsidRPr="00B32568">
        <w:rPr>
          <w:rFonts w:ascii="Times New Roman" w:hAnsi="Times New Roman"/>
          <w:sz w:val="24"/>
          <w:vertAlign w:val="superscript"/>
        </w:rPr>
        <w:footnoteReference w:id="27"/>
      </w:r>
      <w:r w:rsidRPr="00B32568">
        <w:rPr>
          <w:rFonts w:ascii="Times New Roman" w:hAnsi="Times New Roman"/>
          <w:sz w:val="24"/>
        </w:rPr>
        <w:t xml:space="preserve"> are subject to the same examination regime as witnesses, </w:t>
      </w:r>
      <w:r w:rsidR="00B5208E" w:rsidRPr="00B32568">
        <w:rPr>
          <w:rFonts w:ascii="Times New Roman" w:hAnsi="Times New Roman"/>
          <w:sz w:val="24"/>
        </w:rPr>
        <w:t xml:space="preserve">the </w:t>
      </w:r>
      <w:r w:rsidRPr="00B32568">
        <w:rPr>
          <w:rFonts w:ascii="Times New Roman" w:hAnsi="Times New Roman"/>
          <w:sz w:val="24"/>
        </w:rPr>
        <w:t xml:space="preserve">experts are generally required to have a greater degree of objectivity and impartiality. This is </w:t>
      </w:r>
      <w:r w:rsidR="00B5208E" w:rsidRPr="00B32568">
        <w:rPr>
          <w:rFonts w:ascii="Times New Roman" w:hAnsi="Times New Roman"/>
          <w:sz w:val="24"/>
        </w:rPr>
        <w:t xml:space="preserve">very </w:t>
      </w:r>
      <w:r w:rsidRPr="00B32568">
        <w:rPr>
          <w:rFonts w:ascii="Times New Roman" w:hAnsi="Times New Roman"/>
          <w:sz w:val="24"/>
        </w:rPr>
        <w:t xml:space="preserve">important to emphasize </w:t>
      </w:r>
      <w:r w:rsidR="00B5208E" w:rsidRPr="00B32568">
        <w:rPr>
          <w:rFonts w:ascii="Times New Roman" w:hAnsi="Times New Roman"/>
          <w:sz w:val="24"/>
        </w:rPr>
        <w:t xml:space="preserve">having in mind </w:t>
      </w:r>
      <w:r w:rsidRPr="00B32568">
        <w:rPr>
          <w:rFonts w:ascii="Times New Roman" w:hAnsi="Times New Roman"/>
          <w:sz w:val="24"/>
        </w:rPr>
        <w:t xml:space="preserve">pure adversarial </w:t>
      </w:r>
      <w:r w:rsidR="00B5208E" w:rsidRPr="00B32568">
        <w:rPr>
          <w:rFonts w:ascii="Times New Roman" w:hAnsi="Times New Roman"/>
          <w:sz w:val="24"/>
        </w:rPr>
        <w:t>proceedings</w:t>
      </w:r>
      <w:r w:rsidRPr="00B32568">
        <w:rPr>
          <w:rFonts w:ascii="Times New Roman" w:hAnsi="Times New Roman"/>
          <w:sz w:val="24"/>
        </w:rPr>
        <w:t xml:space="preserve">, where parties hire and pay experts. However, an expert </w:t>
      </w:r>
      <w:r w:rsidR="00B5208E" w:rsidRPr="00B32568">
        <w:rPr>
          <w:rFonts w:ascii="Times New Roman" w:hAnsi="Times New Roman"/>
          <w:sz w:val="24"/>
        </w:rPr>
        <w:t xml:space="preserve">witness </w:t>
      </w:r>
      <w:r w:rsidRPr="00B32568">
        <w:rPr>
          <w:rFonts w:ascii="Times New Roman" w:hAnsi="Times New Roman"/>
          <w:sz w:val="24"/>
        </w:rPr>
        <w:t>as an expert in a certain non-legal field should give an expert and objective opinion on the disputed facts in a specific criminal case. The expert witness should explain to the court and the jury</w:t>
      </w:r>
      <w:r w:rsidR="0069439C" w:rsidRPr="00B32568">
        <w:rPr>
          <w:rFonts w:ascii="Times New Roman" w:hAnsi="Times New Roman"/>
          <w:sz w:val="24"/>
        </w:rPr>
        <w:t>,</w:t>
      </w:r>
      <w:r w:rsidRPr="00B32568">
        <w:rPr>
          <w:rFonts w:ascii="Times New Roman" w:hAnsi="Times New Roman"/>
          <w:sz w:val="24"/>
        </w:rPr>
        <w:t xml:space="preserve"> in a clear and understandable way</w:t>
      </w:r>
      <w:r w:rsidR="0069439C" w:rsidRPr="00B32568">
        <w:rPr>
          <w:rFonts w:ascii="Times New Roman" w:hAnsi="Times New Roman"/>
          <w:sz w:val="24"/>
        </w:rPr>
        <w:t>,</w:t>
      </w:r>
      <w:r w:rsidRPr="00B32568">
        <w:rPr>
          <w:rFonts w:ascii="Times New Roman" w:hAnsi="Times New Roman"/>
          <w:sz w:val="24"/>
        </w:rPr>
        <w:t xml:space="preserve"> the conclusions reached </w:t>
      </w:r>
      <w:r w:rsidR="00B5208E" w:rsidRPr="00B32568">
        <w:rPr>
          <w:rFonts w:ascii="Times New Roman" w:hAnsi="Times New Roman"/>
          <w:sz w:val="24"/>
        </w:rPr>
        <w:t>through his expertise</w:t>
      </w:r>
      <w:r w:rsidRPr="00B32568">
        <w:rPr>
          <w:rFonts w:ascii="Times New Roman" w:hAnsi="Times New Roman"/>
          <w:sz w:val="24"/>
        </w:rPr>
        <w:t xml:space="preserve">. Due to the competence of the expert witness, his opinion will have greater </w:t>
      </w:r>
      <w:r w:rsidR="00B5208E" w:rsidRPr="00B32568">
        <w:rPr>
          <w:rFonts w:ascii="Times New Roman" w:hAnsi="Times New Roman"/>
          <w:sz w:val="24"/>
        </w:rPr>
        <w:t xml:space="preserve">evidence </w:t>
      </w:r>
      <w:r w:rsidRPr="00B32568">
        <w:rPr>
          <w:rFonts w:ascii="Times New Roman" w:hAnsi="Times New Roman"/>
          <w:sz w:val="24"/>
        </w:rPr>
        <w:t xml:space="preserve">value </w:t>
      </w:r>
      <w:r w:rsidR="001D6BE4" w:rsidRPr="00B32568">
        <w:rPr>
          <w:rFonts w:ascii="Times New Roman" w:hAnsi="Times New Roman"/>
          <w:sz w:val="24"/>
        </w:rPr>
        <w:t>in relation</w:t>
      </w:r>
      <w:r w:rsidRPr="00B32568">
        <w:rPr>
          <w:rFonts w:ascii="Times New Roman" w:hAnsi="Times New Roman"/>
          <w:sz w:val="24"/>
        </w:rPr>
        <w:t xml:space="preserve"> to the disputable </w:t>
      </w:r>
      <w:r w:rsidR="00F41916" w:rsidRPr="00B32568">
        <w:rPr>
          <w:rFonts w:ascii="Times New Roman" w:hAnsi="Times New Roman"/>
          <w:sz w:val="24"/>
        </w:rPr>
        <w:t>facts, which</w:t>
      </w:r>
      <w:r w:rsidRPr="00B32568">
        <w:rPr>
          <w:rFonts w:ascii="Times New Roman" w:hAnsi="Times New Roman"/>
          <w:sz w:val="24"/>
        </w:rPr>
        <w:t xml:space="preserve"> the expertise referred</w:t>
      </w:r>
      <w:r w:rsidR="00B5208E" w:rsidRPr="00B32568">
        <w:rPr>
          <w:rFonts w:ascii="Times New Roman" w:hAnsi="Times New Roman"/>
          <w:sz w:val="24"/>
        </w:rPr>
        <w:t xml:space="preserve"> to</w:t>
      </w:r>
      <w:r w:rsidRPr="00B32568">
        <w:rPr>
          <w:rFonts w:ascii="Times New Roman" w:hAnsi="Times New Roman"/>
          <w:sz w:val="24"/>
        </w:rPr>
        <w:t xml:space="preserve">, but whether the faith will be given to that opinion is </w:t>
      </w:r>
      <w:r w:rsidR="00B5208E" w:rsidRPr="00B32568">
        <w:rPr>
          <w:rFonts w:ascii="Times New Roman" w:hAnsi="Times New Roman"/>
          <w:sz w:val="24"/>
        </w:rPr>
        <w:t xml:space="preserve">again </w:t>
      </w:r>
      <w:r w:rsidRPr="00B32568">
        <w:rPr>
          <w:rFonts w:ascii="Times New Roman" w:hAnsi="Times New Roman"/>
          <w:sz w:val="24"/>
        </w:rPr>
        <w:t>decided by the court, i</w:t>
      </w:r>
      <w:r w:rsidR="00B5208E" w:rsidRPr="00B32568">
        <w:rPr>
          <w:rFonts w:ascii="Times New Roman" w:hAnsi="Times New Roman"/>
          <w:sz w:val="24"/>
        </w:rPr>
        <w:t>.</w:t>
      </w:r>
      <w:r w:rsidRPr="00B32568">
        <w:rPr>
          <w:rFonts w:ascii="Times New Roman" w:hAnsi="Times New Roman"/>
          <w:sz w:val="24"/>
        </w:rPr>
        <w:t>e</w:t>
      </w:r>
      <w:r w:rsidR="00B5208E" w:rsidRPr="00B32568">
        <w:rPr>
          <w:rFonts w:ascii="Times New Roman" w:hAnsi="Times New Roman"/>
          <w:sz w:val="24"/>
        </w:rPr>
        <w:t>.</w:t>
      </w:r>
      <w:r w:rsidRPr="00B32568">
        <w:rPr>
          <w:rFonts w:ascii="Times New Roman" w:hAnsi="Times New Roman"/>
          <w:sz w:val="24"/>
        </w:rPr>
        <w:t xml:space="preserve"> the jury.</w:t>
      </w:r>
      <w:r w:rsidR="001D6BE4" w:rsidRPr="00B32568">
        <w:rPr>
          <w:rFonts w:ascii="Times New Roman" w:hAnsi="Times New Roman"/>
          <w:sz w:val="24"/>
          <w:vertAlign w:val="superscript"/>
        </w:rPr>
        <w:footnoteReference w:id="28"/>
      </w:r>
    </w:p>
    <w:p w:rsidR="00025ADF" w:rsidRPr="00B32568" w:rsidRDefault="00025ADF" w:rsidP="00EE4634">
      <w:pPr>
        <w:spacing w:after="0" w:line="240" w:lineRule="auto"/>
        <w:rPr>
          <w:rFonts w:ascii="Times New Roman" w:hAnsi="Times New Roman"/>
          <w:b/>
          <w:sz w:val="24"/>
        </w:rPr>
      </w:pPr>
    </w:p>
    <w:p w:rsidR="00025ADF" w:rsidRPr="00B32568" w:rsidRDefault="00BB4899" w:rsidP="00EE4634">
      <w:pPr>
        <w:keepNext/>
        <w:keepLines/>
        <w:spacing w:before="40" w:after="0" w:line="240" w:lineRule="auto"/>
        <w:jc w:val="center"/>
        <w:outlineLvl w:val="3"/>
        <w:rPr>
          <w:rFonts w:ascii="Times New Roman" w:eastAsiaTheme="majorEastAsia" w:hAnsi="Times New Roman" w:cstheme="majorBidi"/>
          <w:iCs/>
          <w:sz w:val="24"/>
          <w:szCs w:val="24"/>
        </w:rPr>
      </w:pPr>
      <w:bookmarkStart w:id="14" w:name="_Toc30112795"/>
      <w:r w:rsidRPr="00B32568">
        <w:rPr>
          <w:rFonts w:ascii="Times New Roman" w:eastAsiaTheme="majorEastAsia" w:hAnsi="Times New Roman" w:cstheme="majorBidi"/>
          <w:iCs/>
          <w:sz w:val="24"/>
          <w:szCs w:val="24"/>
        </w:rPr>
        <w:t>5.</w:t>
      </w:r>
      <w:r w:rsidR="00025ADF" w:rsidRPr="00B32568">
        <w:rPr>
          <w:rFonts w:ascii="Times New Roman" w:eastAsiaTheme="majorEastAsia" w:hAnsi="Times New Roman" w:cstheme="majorBidi"/>
          <w:iCs/>
          <w:sz w:val="24"/>
          <w:szCs w:val="24"/>
        </w:rPr>
        <w:t xml:space="preserve">4. </w:t>
      </w:r>
      <w:r w:rsidR="001D6BE4" w:rsidRPr="00B32568">
        <w:rPr>
          <w:rFonts w:ascii="Times New Roman" w:eastAsiaTheme="majorEastAsia" w:hAnsi="Times New Roman" w:cstheme="majorBidi"/>
          <w:iCs/>
          <w:sz w:val="24"/>
          <w:szCs w:val="24"/>
        </w:rPr>
        <w:t xml:space="preserve">Documents and technical recordings </w:t>
      </w:r>
      <w:bookmarkEnd w:id="14"/>
    </w:p>
    <w:p w:rsidR="00025ADF" w:rsidRPr="00B32568" w:rsidRDefault="00025ADF" w:rsidP="00EE4634">
      <w:pPr>
        <w:spacing w:after="0" w:line="240" w:lineRule="auto"/>
        <w:rPr>
          <w:rFonts w:ascii="Times New Roman" w:hAnsi="Times New Roman"/>
          <w:b/>
          <w:sz w:val="24"/>
        </w:rPr>
      </w:pPr>
    </w:p>
    <w:p w:rsidR="00654C35" w:rsidRPr="00B32568" w:rsidRDefault="00654C35" w:rsidP="00EE4634">
      <w:pPr>
        <w:spacing w:after="0" w:line="240" w:lineRule="auto"/>
        <w:ind w:firstLine="708"/>
        <w:jc w:val="both"/>
        <w:rPr>
          <w:rFonts w:ascii="Times New Roman" w:hAnsi="Times New Roman"/>
          <w:sz w:val="24"/>
        </w:rPr>
      </w:pPr>
      <w:r w:rsidRPr="00B32568">
        <w:rPr>
          <w:rFonts w:ascii="Times New Roman" w:hAnsi="Times New Roman"/>
          <w:sz w:val="24"/>
        </w:rPr>
        <w:t xml:space="preserve">The </w:t>
      </w:r>
      <w:r w:rsidR="00FF5806" w:rsidRPr="00B32568">
        <w:rPr>
          <w:rFonts w:ascii="Times New Roman" w:hAnsi="Times New Roman"/>
          <w:sz w:val="24"/>
        </w:rPr>
        <w:t xml:space="preserve">1984 </w:t>
      </w:r>
      <w:r w:rsidRPr="00B32568">
        <w:rPr>
          <w:rFonts w:ascii="Times New Roman" w:hAnsi="Times New Roman"/>
          <w:sz w:val="24"/>
        </w:rPr>
        <w:t>Police and Criminal Evidence Act defines the term document in such a way that it covers not only all categories of records, such as writings, printed material, drawings, sketches, plans, notes, etc. but also technical recordings of facts (photographs and films, magnetic tapes with sound or optical recording, discs and similar media).</w:t>
      </w:r>
      <w:r w:rsidR="00FF5806" w:rsidRPr="00B32568">
        <w:rPr>
          <w:rFonts w:ascii="Times New Roman" w:hAnsi="Times New Roman"/>
          <w:sz w:val="24"/>
          <w:vertAlign w:val="superscript"/>
        </w:rPr>
        <w:t xml:space="preserve"> </w:t>
      </w:r>
      <w:r w:rsidR="00FF5806" w:rsidRPr="00B32568">
        <w:rPr>
          <w:rFonts w:ascii="Times New Roman" w:hAnsi="Times New Roman"/>
          <w:sz w:val="24"/>
          <w:vertAlign w:val="superscript"/>
        </w:rPr>
        <w:footnoteReference w:id="29"/>
      </w:r>
      <w:r w:rsidR="00FF5806" w:rsidRPr="00B32568">
        <w:rPr>
          <w:rFonts w:ascii="Times New Roman" w:hAnsi="Times New Roman"/>
          <w:sz w:val="24"/>
        </w:rPr>
        <w:t xml:space="preserve"> Interestingly, English law</w:t>
      </w:r>
      <w:r w:rsidRPr="00B32568">
        <w:rPr>
          <w:rFonts w:ascii="Times New Roman" w:hAnsi="Times New Roman"/>
          <w:sz w:val="24"/>
        </w:rPr>
        <w:t xml:space="preserve"> is skeptical </w:t>
      </w:r>
      <w:r w:rsidR="00FF5806" w:rsidRPr="00B32568">
        <w:rPr>
          <w:rFonts w:ascii="Times New Roman" w:hAnsi="Times New Roman"/>
          <w:sz w:val="24"/>
        </w:rPr>
        <w:t xml:space="preserve">towards </w:t>
      </w:r>
      <w:r w:rsidRPr="00B32568">
        <w:rPr>
          <w:rFonts w:ascii="Times New Roman" w:hAnsi="Times New Roman"/>
          <w:sz w:val="24"/>
        </w:rPr>
        <w:t xml:space="preserve">documents, and prefers </w:t>
      </w:r>
      <w:r w:rsidR="00FF5806" w:rsidRPr="00B32568">
        <w:rPr>
          <w:rFonts w:ascii="Times New Roman" w:hAnsi="Times New Roman"/>
          <w:sz w:val="24"/>
        </w:rPr>
        <w:t xml:space="preserve">the author of the document is </w:t>
      </w:r>
      <w:r w:rsidRPr="00B32568">
        <w:rPr>
          <w:rFonts w:ascii="Times New Roman" w:hAnsi="Times New Roman"/>
          <w:sz w:val="24"/>
        </w:rPr>
        <w:t xml:space="preserve">heard at the hearing </w:t>
      </w:r>
      <w:r w:rsidR="00707F7F" w:rsidRPr="00B32568">
        <w:rPr>
          <w:rFonts w:ascii="Times New Roman" w:hAnsi="Times New Roman"/>
          <w:sz w:val="24"/>
        </w:rPr>
        <w:t xml:space="preserve">- about what he himself noticed on that occasion, </w:t>
      </w:r>
      <w:r w:rsidRPr="00B32568">
        <w:rPr>
          <w:rFonts w:ascii="Times New Roman" w:hAnsi="Times New Roman"/>
          <w:sz w:val="24"/>
        </w:rPr>
        <w:t xml:space="preserve">instead of reading </w:t>
      </w:r>
      <w:r w:rsidR="00FF5806" w:rsidRPr="00B32568">
        <w:rPr>
          <w:rFonts w:ascii="Times New Roman" w:hAnsi="Times New Roman"/>
          <w:sz w:val="24"/>
        </w:rPr>
        <w:t>it</w:t>
      </w:r>
      <w:r w:rsidRPr="00B32568">
        <w:rPr>
          <w:rFonts w:ascii="Times New Roman" w:hAnsi="Times New Roman"/>
          <w:sz w:val="24"/>
        </w:rPr>
        <w:t>.</w:t>
      </w:r>
    </w:p>
    <w:p w:rsidR="00654C35" w:rsidRPr="00B32568" w:rsidRDefault="00654C35" w:rsidP="00EE4634">
      <w:pPr>
        <w:spacing w:after="0" w:line="240" w:lineRule="auto"/>
        <w:ind w:firstLine="708"/>
        <w:jc w:val="both"/>
        <w:rPr>
          <w:rFonts w:ascii="Times New Roman" w:hAnsi="Times New Roman"/>
          <w:sz w:val="24"/>
        </w:rPr>
      </w:pPr>
      <w:r w:rsidRPr="00B32568">
        <w:rPr>
          <w:rFonts w:ascii="Times New Roman" w:hAnsi="Times New Roman"/>
          <w:sz w:val="24"/>
        </w:rPr>
        <w:t>In order for a party to be able to present evidence with a document, two preconditions must be met: its authenticity must be proved and its presentation in court must be admissible. If he does not have the original, the party may use a copy of the document for this purpose in certain cases</w:t>
      </w:r>
      <w:r w:rsidR="00F41916">
        <w:rPr>
          <w:rFonts w:ascii="Times New Roman" w:hAnsi="Times New Roman"/>
          <w:sz w:val="24"/>
        </w:rPr>
        <w:t xml:space="preserve"> only</w:t>
      </w:r>
      <w:r w:rsidRPr="00B32568">
        <w:rPr>
          <w:rFonts w:ascii="Times New Roman" w:hAnsi="Times New Roman"/>
          <w:sz w:val="24"/>
        </w:rPr>
        <w:t xml:space="preserve">: if e.g. </w:t>
      </w:r>
      <w:r w:rsidR="007146D4" w:rsidRPr="00B32568">
        <w:rPr>
          <w:rFonts w:ascii="Times New Roman" w:hAnsi="Times New Roman"/>
          <w:sz w:val="24"/>
        </w:rPr>
        <w:t xml:space="preserve">he </w:t>
      </w:r>
      <w:r w:rsidRPr="00B32568">
        <w:rPr>
          <w:rFonts w:ascii="Times New Roman" w:hAnsi="Times New Roman"/>
          <w:sz w:val="24"/>
        </w:rPr>
        <w:t>proves that the original cannot be obtained because it has been lost or destroyed; if it is a certified copy of a public document, etc. Minutes containing statements of some persons who are reasonably considered to have their own knowledge of a particular matter may be used as evidence in criminal proceedings, provided that they have been made by an official and if that person cannot be heard directly</w:t>
      </w:r>
      <w:r w:rsidR="007146D4" w:rsidRPr="00B32568">
        <w:rPr>
          <w:rFonts w:ascii="Times New Roman" w:hAnsi="Times New Roman"/>
          <w:sz w:val="24"/>
        </w:rPr>
        <w:t xml:space="preserve">, i.e. if these are information </w:t>
      </w:r>
      <w:r w:rsidRPr="00B32568">
        <w:rPr>
          <w:rFonts w:ascii="Times New Roman" w:hAnsi="Times New Roman"/>
          <w:sz w:val="24"/>
        </w:rPr>
        <w:t>provided by an unidentified person, and all "reasonable steps" taken to establish his identity remained unsuccessful.</w:t>
      </w:r>
      <w:r w:rsidR="007146D4" w:rsidRPr="00B32568">
        <w:rPr>
          <w:rFonts w:ascii="Times New Roman" w:hAnsi="Times New Roman"/>
          <w:sz w:val="24"/>
          <w:vertAlign w:val="superscript"/>
        </w:rPr>
        <w:footnoteReference w:id="30"/>
      </w:r>
    </w:p>
    <w:p w:rsidR="00654C35" w:rsidRPr="00B32568" w:rsidRDefault="00E43716" w:rsidP="00EE4634">
      <w:pPr>
        <w:spacing w:after="0" w:line="240" w:lineRule="auto"/>
        <w:jc w:val="both"/>
        <w:rPr>
          <w:rFonts w:ascii="Times New Roman" w:hAnsi="Times New Roman"/>
          <w:sz w:val="24"/>
        </w:rPr>
      </w:pPr>
      <w:r w:rsidRPr="00B32568">
        <w:rPr>
          <w:rFonts w:ascii="Times New Roman" w:hAnsi="Times New Roman"/>
          <w:sz w:val="24"/>
        </w:rPr>
        <w:tab/>
      </w:r>
      <w:r w:rsidR="00654C35" w:rsidRPr="00B32568">
        <w:rPr>
          <w:rFonts w:ascii="Times New Roman" w:hAnsi="Times New Roman"/>
          <w:sz w:val="24"/>
        </w:rPr>
        <w:t xml:space="preserve">The Police and Criminal Evidence Act also </w:t>
      </w:r>
      <w:proofErr w:type="gramStart"/>
      <w:r w:rsidR="00654C35" w:rsidRPr="00B32568">
        <w:rPr>
          <w:rFonts w:ascii="Times New Roman" w:hAnsi="Times New Roman"/>
          <w:sz w:val="24"/>
        </w:rPr>
        <w:t>deals</w:t>
      </w:r>
      <w:proofErr w:type="gramEnd"/>
      <w:r w:rsidR="00654C35" w:rsidRPr="00B32568">
        <w:rPr>
          <w:rFonts w:ascii="Times New Roman" w:hAnsi="Times New Roman"/>
          <w:sz w:val="24"/>
        </w:rPr>
        <w:t xml:space="preserve"> with computer </w:t>
      </w:r>
      <w:r w:rsidR="0061429A" w:rsidRPr="00B32568">
        <w:rPr>
          <w:rFonts w:ascii="Times New Roman" w:hAnsi="Times New Roman"/>
          <w:sz w:val="24"/>
        </w:rPr>
        <w:t xml:space="preserve">printouts </w:t>
      </w:r>
      <w:r w:rsidR="00654C35" w:rsidRPr="00B32568">
        <w:rPr>
          <w:rFonts w:ascii="Times New Roman" w:hAnsi="Times New Roman"/>
          <w:sz w:val="24"/>
        </w:rPr>
        <w:t>as evidence in criminal proceedings</w:t>
      </w:r>
      <w:r w:rsidR="0061429A" w:rsidRPr="00B32568">
        <w:rPr>
          <w:rFonts w:ascii="Times New Roman" w:hAnsi="Times New Roman"/>
          <w:sz w:val="24"/>
        </w:rPr>
        <w:t xml:space="preserve"> (evidence form computer records)</w:t>
      </w:r>
      <w:r w:rsidR="00654C35" w:rsidRPr="00B32568">
        <w:rPr>
          <w:rFonts w:ascii="Times New Roman" w:hAnsi="Times New Roman"/>
          <w:sz w:val="24"/>
        </w:rPr>
        <w:t xml:space="preserve">. If the original computer operation is used, such a printout can be used as evidence. However, if the printout is a product of a database </w:t>
      </w:r>
      <w:r w:rsidR="00654C35" w:rsidRPr="00B32568">
        <w:rPr>
          <w:rFonts w:ascii="Times New Roman" w:hAnsi="Times New Roman"/>
          <w:sz w:val="24"/>
        </w:rPr>
        <w:lastRenderedPageBreak/>
        <w:t xml:space="preserve">created by a person, then that printout may be used as evidence, </w:t>
      </w:r>
      <w:r w:rsidR="00654C35" w:rsidRPr="00B32568">
        <w:rPr>
          <w:rFonts w:ascii="Times New Roman" w:hAnsi="Times New Roman"/>
          <w:i/>
          <w:sz w:val="24"/>
        </w:rPr>
        <w:t>inter alia</w:t>
      </w:r>
      <w:r w:rsidR="00654C35" w:rsidRPr="00B32568">
        <w:rPr>
          <w:rFonts w:ascii="Times New Roman" w:hAnsi="Times New Roman"/>
          <w:sz w:val="24"/>
        </w:rPr>
        <w:t xml:space="preserve">, if the party proposing that </w:t>
      </w:r>
      <w:r w:rsidR="0061429A" w:rsidRPr="00B32568">
        <w:rPr>
          <w:rFonts w:ascii="Times New Roman" w:hAnsi="Times New Roman"/>
          <w:sz w:val="24"/>
        </w:rPr>
        <w:t xml:space="preserve">evidence </w:t>
      </w:r>
      <w:r w:rsidR="00654C35" w:rsidRPr="00B32568">
        <w:rPr>
          <w:rFonts w:ascii="Times New Roman" w:hAnsi="Times New Roman"/>
          <w:sz w:val="24"/>
        </w:rPr>
        <w:t>does not prove that there are no reasonable grounds to believe that the information is incorrect due to mishandling</w:t>
      </w:r>
      <w:r w:rsidR="0061429A" w:rsidRPr="00B32568">
        <w:rPr>
          <w:rFonts w:ascii="Times New Roman" w:hAnsi="Times New Roman"/>
          <w:sz w:val="24"/>
        </w:rPr>
        <w:t xml:space="preserve"> of the computer</w:t>
      </w:r>
      <w:r w:rsidR="00654C35" w:rsidRPr="00B32568">
        <w:rPr>
          <w:rFonts w:ascii="Times New Roman" w:hAnsi="Times New Roman"/>
          <w:sz w:val="24"/>
        </w:rPr>
        <w:t>.</w:t>
      </w:r>
    </w:p>
    <w:p w:rsidR="00F81771" w:rsidRPr="00B32568" w:rsidRDefault="00F81771" w:rsidP="00EE4634">
      <w:pPr>
        <w:spacing w:after="0" w:line="240" w:lineRule="auto"/>
        <w:jc w:val="both"/>
        <w:rPr>
          <w:rFonts w:ascii="Times New Roman" w:hAnsi="Times New Roman"/>
          <w:sz w:val="24"/>
        </w:rPr>
      </w:pPr>
    </w:p>
    <w:p w:rsidR="00025ADF" w:rsidRPr="00B32568" w:rsidRDefault="00EA525D" w:rsidP="00EE4634">
      <w:pPr>
        <w:keepNext/>
        <w:keepLines/>
        <w:spacing w:before="40" w:after="0" w:line="240" w:lineRule="auto"/>
        <w:jc w:val="center"/>
        <w:outlineLvl w:val="2"/>
        <w:rPr>
          <w:rFonts w:ascii="Times New Roman" w:eastAsiaTheme="majorEastAsia" w:hAnsi="Times New Roman" w:cstheme="majorBidi"/>
          <w:sz w:val="24"/>
          <w:szCs w:val="24"/>
        </w:rPr>
      </w:pPr>
      <w:bookmarkStart w:id="15" w:name="_Toc30112796"/>
      <w:r>
        <w:rPr>
          <w:rFonts w:ascii="Times New Roman" w:eastAsiaTheme="majorEastAsia" w:hAnsi="Times New Roman" w:cstheme="majorBidi"/>
          <w:sz w:val="24"/>
          <w:szCs w:val="24"/>
        </w:rPr>
        <w:t>5</w:t>
      </w:r>
      <w:r w:rsidR="00F41916">
        <w:rPr>
          <w:rFonts w:ascii="Times New Roman" w:eastAsiaTheme="majorEastAsia" w:hAnsi="Times New Roman" w:cstheme="majorBidi"/>
          <w:sz w:val="24"/>
          <w:szCs w:val="24"/>
        </w:rPr>
        <w:t xml:space="preserve">.5. </w:t>
      </w:r>
      <w:r w:rsidR="00F41916" w:rsidRPr="00B32568">
        <w:rPr>
          <w:rFonts w:ascii="Times New Roman" w:eastAsiaTheme="majorEastAsia" w:hAnsi="Times New Roman" w:cstheme="majorBidi"/>
          <w:sz w:val="24"/>
          <w:szCs w:val="24"/>
        </w:rPr>
        <w:t>Assessment</w:t>
      </w:r>
      <w:r w:rsidR="0061429A" w:rsidRPr="00B32568">
        <w:rPr>
          <w:rFonts w:ascii="Times New Roman" w:eastAsiaTheme="majorEastAsia" w:hAnsi="Times New Roman" w:cstheme="majorBidi"/>
          <w:sz w:val="24"/>
          <w:szCs w:val="24"/>
        </w:rPr>
        <w:t xml:space="preserve"> of evidence, control of relevance and admissibility </w:t>
      </w:r>
      <w:bookmarkEnd w:id="15"/>
    </w:p>
    <w:p w:rsidR="00025ADF" w:rsidRPr="00B32568" w:rsidRDefault="00025ADF" w:rsidP="00EE4634">
      <w:pPr>
        <w:spacing w:after="0" w:line="240" w:lineRule="auto"/>
        <w:rPr>
          <w:rFonts w:ascii="Times New Roman" w:hAnsi="Times New Roman"/>
          <w:b/>
          <w:sz w:val="24"/>
        </w:rPr>
      </w:pPr>
    </w:p>
    <w:p w:rsidR="00654C35" w:rsidRPr="00B32568" w:rsidRDefault="00654C35" w:rsidP="00EE4634">
      <w:pPr>
        <w:spacing w:after="0" w:line="240" w:lineRule="auto"/>
        <w:ind w:firstLine="708"/>
        <w:jc w:val="both"/>
        <w:rPr>
          <w:rFonts w:ascii="Times New Roman" w:hAnsi="Times New Roman"/>
          <w:sz w:val="24"/>
        </w:rPr>
      </w:pPr>
      <w:r w:rsidRPr="00B32568">
        <w:rPr>
          <w:rFonts w:ascii="Times New Roman" w:hAnsi="Times New Roman"/>
          <w:sz w:val="24"/>
        </w:rPr>
        <w:t xml:space="preserve">Before the beginning of the presentation of evidence, in English law, the so-called control of relevance and </w:t>
      </w:r>
      <w:r w:rsidR="00F41916" w:rsidRPr="00B32568">
        <w:rPr>
          <w:rFonts w:ascii="Times New Roman" w:hAnsi="Times New Roman"/>
          <w:sz w:val="24"/>
        </w:rPr>
        <w:t>admissibility,</w:t>
      </w:r>
      <w:r w:rsidR="00925A1E" w:rsidRPr="00B32568">
        <w:rPr>
          <w:rFonts w:ascii="Times New Roman" w:hAnsi="Times New Roman"/>
          <w:sz w:val="24"/>
        </w:rPr>
        <w:t xml:space="preserve"> have to be taken into account</w:t>
      </w:r>
      <w:r w:rsidRPr="00B32568">
        <w:rPr>
          <w:rFonts w:ascii="Times New Roman" w:hAnsi="Times New Roman"/>
          <w:sz w:val="24"/>
        </w:rPr>
        <w:t>. The purpose of this is primarily preventive action, in order to prevent misconceptions in the conclusions of jurors. As jury decision-making is in fact secular, the risk of misleading the jury, due to ignorance of legal principles, is high, and</w:t>
      </w:r>
      <w:r w:rsidR="00925A1E" w:rsidRPr="00B32568">
        <w:rPr>
          <w:rFonts w:ascii="Times New Roman" w:hAnsi="Times New Roman"/>
          <w:sz w:val="24"/>
        </w:rPr>
        <w:t>,</w:t>
      </w:r>
      <w:r w:rsidRPr="00B32568">
        <w:rPr>
          <w:rFonts w:ascii="Times New Roman" w:hAnsi="Times New Roman"/>
          <w:sz w:val="24"/>
        </w:rPr>
        <w:t xml:space="preserve"> therefore</w:t>
      </w:r>
      <w:r w:rsidR="00925A1E" w:rsidRPr="00B32568">
        <w:rPr>
          <w:rFonts w:ascii="Times New Roman" w:hAnsi="Times New Roman"/>
          <w:sz w:val="24"/>
        </w:rPr>
        <w:t>,</w:t>
      </w:r>
      <w:r w:rsidRPr="00B32568">
        <w:rPr>
          <w:rFonts w:ascii="Times New Roman" w:hAnsi="Times New Roman"/>
          <w:sz w:val="24"/>
        </w:rPr>
        <w:t xml:space="preserve"> the judge conducting the hearing has the primary task of supervising the presentation of evidence and deciding on its relevance and admissibility before it is presented.</w:t>
      </w:r>
    </w:p>
    <w:p w:rsidR="00654C35" w:rsidRPr="00B32568" w:rsidRDefault="00654C35" w:rsidP="00EE4634">
      <w:pPr>
        <w:spacing w:after="0" w:line="240" w:lineRule="auto"/>
        <w:ind w:firstLine="708"/>
        <w:jc w:val="both"/>
        <w:rPr>
          <w:rFonts w:ascii="Times New Roman" w:hAnsi="Times New Roman"/>
          <w:sz w:val="24"/>
        </w:rPr>
      </w:pPr>
      <w:r w:rsidRPr="00B32568">
        <w:rPr>
          <w:rFonts w:ascii="Times New Roman" w:hAnsi="Times New Roman"/>
          <w:sz w:val="24"/>
        </w:rPr>
        <w:t xml:space="preserve">The jury is in principle not subject to any legal rules on the </w:t>
      </w:r>
      <w:r w:rsidR="00F41916" w:rsidRPr="00B32568">
        <w:rPr>
          <w:rFonts w:ascii="Times New Roman" w:hAnsi="Times New Roman"/>
          <w:sz w:val="24"/>
        </w:rPr>
        <w:t>assessment</w:t>
      </w:r>
      <w:r w:rsidRPr="00B32568">
        <w:rPr>
          <w:rFonts w:ascii="Times New Roman" w:hAnsi="Times New Roman"/>
          <w:sz w:val="24"/>
        </w:rPr>
        <w:t xml:space="preserve"> of evidence, other than the legal standard of proving guilt "beyond any reasonable doubt". All evidence presented to jurors, they judge on a free assessment. There are two exceptions to this principle in th</w:t>
      </w:r>
      <w:r w:rsidR="00377FBF" w:rsidRPr="00B32568">
        <w:rPr>
          <w:rFonts w:ascii="Times New Roman" w:hAnsi="Times New Roman"/>
          <w:sz w:val="24"/>
        </w:rPr>
        <w:t xml:space="preserve">e most serious three-part criminal offenses </w:t>
      </w:r>
      <w:r w:rsidRPr="00B32568">
        <w:rPr>
          <w:rFonts w:ascii="Times New Roman" w:hAnsi="Times New Roman"/>
          <w:sz w:val="24"/>
        </w:rPr>
        <w:t xml:space="preserve">under the old common law system. Namely, in the case of treasons, a conviction can be rendered only </w:t>
      </w:r>
      <w:r w:rsidR="00F41916" w:rsidRPr="00B32568">
        <w:rPr>
          <w:rFonts w:ascii="Times New Roman" w:hAnsi="Times New Roman"/>
          <w:sz w:val="24"/>
        </w:rPr>
        <w:t>based on</w:t>
      </w:r>
      <w:r w:rsidRPr="00B32568">
        <w:rPr>
          <w:rFonts w:ascii="Times New Roman" w:hAnsi="Times New Roman"/>
          <w:sz w:val="24"/>
        </w:rPr>
        <w:t xml:space="preserve"> direct evidence, namely the testimony of two eyewitness</w:t>
      </w:r>
      <w:r w:rsidR="00377FBF" w:rsidRPr="00B32568">
        <w:rPr>
          <w:rFonts w:ascii="Times New Roman" w:hAnsi="Times New Roman"/>
          <w:sz w:val="24"/>
        </w:rPr>
        <w:t>es</w:t>
      </w:r>
      <w:r w:rsidRPr="00B32568">
        <w:rPr>
          <w:rFonts w:ascii="Times New Roman" w:hAnsi="Times New Roman"/>
          <w:sz w:val="24"/>
        </w:rPr>
        <w:t xml:space="preserve"> or the confession of the accused at a public hearing. In other criminal offenses, there are cases when the testimony of one witness is not sufficient, but it is necessary that the testimony </w:t>
      </w:r>
      <w:r w:rsidR="00377FBF" w:rsidRPr="00B32568">
        <w:rPr>
          <w:rFonts w:ascii="Times New Roman" w:hAnsi="Times New Roman"/>
          <w:sz w:val="24"/>
        </w:rPr>
        <w:t>be corroborated</w:t>
      </w:r>
      <w:r w:rsidR="00377FBF" w:rsidRPr="00B32568">
        <w:rPr>
          <w:rFonts w:ascii="Times New Roman" w:hAnsi="Times New Roman"/>
          <w:sz w:val="24"/>
          <w:vertAlign w:val="superscript"/>
        </w:rPr>
        <w:footnoteReference w:id="31"/>
      </w:r>
      <w:r w:rsidR="00377FBF" w:rsidRPr="00B32568">
        <w:rPr>
          <w:rFonts w:ascii="Times New Roman" w:hAnsi="Times New Roman"/>
          <w:sz w:val="24"/>
        </w:rPr>
        <w:t xml:space="preserve"> </w:t>
      </w:r>
      <w:r w:rsidRPr="00B32568">
        <w:rPr>
          <w:rFonts w:ascii="Times New Roman" w:hAnsi="Times New Roman"/>
          <w:sz w:val="24"/>
        </w:rPr>
        <w:t>with some other evidence.</w:t>
      </w:r>
    </w:p>
    <w:p w:rsidR="00654C35" w:rsidRPr="00B32568" w:rsidRDefault="00377FBF" w:rsidP="00EE4634">
      <w:pPr>
        <w:spacing w:after="0" w:line="240" w:lineRule="auto"/>
        <w:ind w:firstLine="708"/>
        <w:jc w:val="both"/>
        <w:rPr>
          <w:rFonts w:ascii="Times New Roman" w:hAnsi="Times New Roman"/>
          <w:sz w:val="24"/>
        </w:rPr>
      </w:pPr>
      <w:r w:rsidRPr="00B32568">
        <w:rPr>
          <w:rFonts w:ascii="Times New Roman" w:hAnsi="Times New Roman"/>
          <w:sz w:val="24"/>
        </w:rPr>
        <w:t>The judge presents the jury t</w:t>
      </w:r>
      <w:r w:rsidR="00654C35" w:rsidRPr="00B32568">
        <w:rPr>
          <w:rFonts w:ascii="Times New Roman" w:hAnsi="Times New Roman"/>
          <w:sz w:val="24"/>
        </w:rPr>
        <w:t xml:space="preserve">he rules on </w:t>
      </w:r>
      <w:r w:rsidRPr="00B32568">
        <w:rPr>
          <w:rFonts w:ascii="Times New Roman" w:hAnsi="Times New Roman"/>
          <w:sz w:val="24"/>
        </w:rPr>
        <w:t xml:space="preserve">substantiation </w:t>
      </w:r>
      <w:r w:rsidR="00654C35" w:rsidRPr="00B32568">
        <w:rPr>
          <w:rFonts w:ascii="Times New Roman" w:hAnsi="Times New Roman"/>
          <w:sz w:val="24"/>
        </w:rPr>
        <w:t xml:space="preserve">at the end of the hearing. In this regard, three scenarios are possible if the prosecution does not provide corroborating evidence: (1) it will be deemed not to have complied with the burden of proof rule, (2) the judge must warn jurors of the possibility of wrongful conviction, and (3) the judge may or may not warn jurors to the possibility of wrongful </w:t>
      </w:r>
      <w:r w:rsidRPr="00B32568">
        <w:rPr>
          <w:rFonts w:ascii="Times New Roman" w:hAnsi="Times New Roman"/>
          <w:sz w:val="24"/>
        </w:rPr>
        <w:t>conviction</w:t>
      </w:r>
      <w:r w:rsidR="00654C35" w:rsidRPr="00B32568">
        <w:rPr>
          <w:rFonts w:ascii="Times New Roman" w:hAnsi="Times New Roman"/>
          <w:sz w:val="24"/>
        </w:rPr>
        <w:t>.</w:t>
      </w:r>
    </w:p>
    <w:p w:rsidR="00654C35" w:rsidRPr="00B32568" w:rsidRDefault="00654C35" w:rsidP="00EE4634">
      <w:pPr>
        <w:spacing w:after="0" w:line="240" w:lineRule="auto"/>
        <w:ind w:firstLine="708"/>
        <w:jc w:val="both"/>
        <w:rPr>
          <w:rFonts w:ascii="Times New Roman" w:hAnsi="Times New Roman"/>
          <w:sz w:val="24"/>
        </w:rPr>
      </w:pPr>
      <w:proofErr w:type="gramStart"/>
      <w:r w:rsidRPr="00B32568">
        <w:rPr>
          <w:rFonts w:ascii="Times New Roman" w:hAnsi="Times New Roman"/>
          <w:b/>
          <w:sz w:val="24"/>
        </w:rPr>
        <w:t>Relevance</w:t>
      </w:r>
      <w:r w:rsidRPr="00B32568">
        <w:rPr>
          <w:rFonts w:ascii="Times New Roman" w:hAnsi="Times New Roman"/>
          <w:sz w:val="24"/>
        </w:rPr>
        <w:t>.</w:t>
      </w:r>
      <w:proofErr w:type="gramEnd"/>
      <w:r w:rsidRPr="00B32568">
        <w:rPr>
          <w:rFonts w:ascii="Times New Roman" w:hAnsi="Times New Roman"/>
          <w:sz w:val="24"/>
        </w:rPr>
        <w:t xml:space="preserve"> Only evidence that points to the actions and con</w:t>
      </w:r>
      <w:r w:rsidR="009E2777" w:rsidRPr="00B32568">
        <w:rPr>
          <w:rFonts w:ascii="Times New Roman" w:hAnsi="Times New Roman"/>
          <w:sz w:val="24"/>
        </w:rPr>
        <w:t>sequences of the committed criminal offenses</w:t>
      </w:r>
      <w:r w:rsidRPr="00B32568">
        <w:rPr>
          <w:rFonts w:ascii="Times New Roman" w:hAnsi="Times New Roman"/>
          <w:sz w:val="24"/>
        </w:rPr>
        <w:t xml:space="preserve"> (</w:t>
      </w:r>
      <w:r w:rsidRPr="00B32568">
        <w:rPr>
          <w:rFonts w:ascii="Times New Roman" w:hAnsi="Times New Roman"/>
          <w:i/>
          <w:sz w:val="24"/>
        </w:rPr>
        <w:t xml:space="preserve">actus </w:t>
      </w:r>
      <w:proofErr w:type="spellStart"/>
      <w:proofErr w:type="gramStart"/>
      <w:r w:rsidRPr="00B32568">
        <w:rPr>
          <w:rFonts w:ascii="Times New Roman" w:hAnsi="Times New Roman"/>
          <w:i/>
          <w:sz w:val="24"/>
        </w:rPr>
        <w:t>reus</w:t>
      </w:r>
      <w:proofErr w:type="spellEnd"/>
      <w:proofErr w:type="gramEnd"/>
      <w:r w:rsidRPr="00B32568">
        <w:rPr>
          <w:rFonts w:ascii="Times New Roman" w:hAnsi="Times New Roman"/>
          <w:sz w:val="24"/>
        </w:rPr>
        <w:t>), i</w:t>
      </w:r>
      <w:r w:rsidR="009E2777" w:rsidRPr="00B32568">
        <w:rPr>
          <w:rFonts w:ascii="Times New Roman" w:hAnsi="Times New Roman"/>
          <w:sz w:val="24"/>
        </w:rPr>
        <w:t>.</w:t>
      </w:r>
      <w:r w:rsidRPr="00B32568">
        <w:rPr>
          <w:rFonts w:ascii="Times New Roman" w:hAnsi="Times New Roman"/>
          <w:sz w:val="24"/>
        </w:rPr>
        <w:t>e</w:t>
      </w:r>
      <w:r w:rsidR="009E2777" w:rsidRPr="00B32568">
        <w:rPr>
          <w:rFonts w:ascii="Times New Roman" w:hAnsi="Times New Roman"/>
          <w:sz w:val="24"/>
        </w:rPr>
        <w:t>.</w:t>
      </w:r>
      <w:r w:rsidRPr="00B32568">
        <w:rPr>
          <w:rFonts w:ascii="Times New Roman" w:hAnsi="Times New Roman"/>
          <w:sz w:val="24"/>
        </w:rPr>
        <w:t xml:space="preserve"> subjective circumstances on the part of the perpetrator (</w:t>
      </w:r>
      <w:proofErr w:type="spellStart"/>
      <w:r w:rsidRPr="00B32568">
        <w:rPr>
          <w:rFonts w:ascii="Times New Roman" w:hAnsi="Times New Roman"/>
          <w:i/>
          <w:sz w:val="24"/>
        </w:rPr>
        <w:t>mens</w:t>
      </w:r>
      <w:proofErr w:type="spellEnd"/>
      <w:r w:rsidRPr="00B32568">
        <w:rPr>
          <w:rFonts w:ascii="Times New Roman" w:hAnsi="Times New Roman"/>
          <w:i/>
          <w:sz w:val="24"/>
        </w:rPr>
        <w:t xml:space="preserve"> rea</w:t>
      </w:r>
      <w:r w:rsidRPr="00B32568">
        <w:rPr>
          <w:rFonts w:ascii="Times New Roman" w:hAnsi="Times New Roman"/>
          <w:sz w:val="24"/>
        </w:rPr>
        <w:t xml:space="preserve">), circumstances under which the crime was committed and other disputable facts may be presented at the </w:t>
      </w:r>
      <w:r w:rsidR="009E2777" w:rsidRPr="00B32568">
        <w:rPr>
          <w:rFonts w:ascii="Times New Roman" w:hAnsi="Times New Roman"/>
          <w:sz w:val="24"/>
        </w:rPr>
        <w:t>hearing</w:t>
      </w:r>
      <w:r w:rsidRPr="00B32568">
        <w:rPr>
          <w:rFonts w:ascii="Times New Roman" w:hAnsi="Times New Roman"/>
          <w:sz w:val="24"/>
        </w:rPr>
        <w:t>. There is a possibility that certain evidence is logically related to the commission of a criminal offense, but will not be presented at the hearing because it is not legally relevant.</w:t>
      </w:r>
    </w:p>
    <w:p w:rsidR="00654C35" w:rsidRPr="00B32568" w:rsidRDefault="00654C35" w:rsidP="00EE4634">
      <w:pPr>
        <w:spacing w:after="0" w:line="240" w:lineRule="auto"/>
        <w:ind w:firstLine="708"/>
        <w:jc w:val="both"/>
        <w:rPr>
          <w:rFonts w:ascii="Times New Roman" w:hAnsi="Times New Roman"/>
          <w:sz w:val="24"/>
        </w:rPr>
      </w:pPr>
      <w:proofErr w:type="gramStart"/>
      <w:r w:rsidRPr="00B32568">
        <w:rPr>
          <w:rFonts w:ascii="Times New Roman" w:hAnsi="Times New Roman"/>
          <w:b/>
          <w:sz w:val="24"/>
        </w:rPr>
        <w:t>Admissibility</w:t>
      </w:r>
      <w:r w:rsidRPr="00B32568">
        <w:rPr>
          <w:rFonts w:ascii="Times New Roman" w:hAnsi="Times New Roman"/>
          <w:sz w:val="24"/>
        </w:rPr>
        <w:t>.</w:t>
      </w:r>
      <w:proofErr w:type="gramEnd"/>
      <w:r w:rsidRPr="00B32568">
        <w:rPr>
          <w:rFonts w:ascii="Times New Roman" w:hAnsi="Times New Roman"/>
          <w:sz w:val="24"/>
        </w:rPr>
        <w:t xml:space="preserve"> Although the proposed evidence may be logically related to the facts to be proved in the criminal proceedings and are relevant</w:t>
      </w:r>
      <w:r w:rsidR="009E2777" w:rsidRPr="00B32568">
        <w:rPr>
          <w:rFonts w:ascii="Times New Roman" w:hAnsi="Times New Roman"/>
          <w:sz w:val="24"/>
        </w:rPr>
        <w:t xml:space="preserve"> as well</w:t>
      </w:r>
      <w:r w:rsidRPr="00B32568">
        <w:rPr>
          <w:rFonts w:ascii="Times New Roman" w:hAnsi="Times New Roman"/>
          <w:sz w:val="24"/>
        </w:rPr>
        <w:t xml:space="preserve">, there is another criterion that they must meet, and that is admissibility. In the event that the judge considers certain proposed evidence inadmissible, he will exclude such evidence immediately, before the start of the hearing. This is primarily </w:t>
      </w:r>
      <w:r w:rsidR="00F41916" w:rsidRPr="00B32568">
        <w:rPr>
          <w:rFonts w:ascii="Times New Roman" w:hAnsi="Times New Roman"/>
          <w:sz w:val="24"/>
        </w:rPr>
        <w:t>because</w:t>
      </w:r>
      <w:r w:rsidRPr="00B32568">
        <w:rPr>
          <w:rFonts w:ascii="Times New Roman" w:hAnsi="Times New Roman"/>
          <w:sz w:val="24"/>
        </w:rPr>
        <w:t xml:space="preserve"> it is impo</w:t>
      </w:r>
      <w:r w:rsidR="009E2777" w:rsidRPr="00B32568">
        <w:rPr>
          <w:rFonts w:ascii="Times New Roman" w:hAnsi="Times New Roman"/>
          <w:sz w:val="24"/>
        </w:rPr>
        <w:t>rtant to "protect" the proceedings</w:t>
      </w:r>
      <w:r w:rsidRPr="00B32568">
        <w:rPr>
          <w:rFonts w:ascii="Times New Roman" w:hAnsi="Times New Roman"/>
          <w:sz w:val="24"/>
        </w:rPr>
        <w:t xml:space="preserve"> from the secular perception of inadmissible evidence</w:t>
      </w:r>
      <w:r w:rsidR="009E2777" w:rsidRPr="00B32568">
        <w:rPr>
          <w:rFonts w:ascii="Times New Roman" w:hAnsi="Times New Roman"/>
          <w:sz w:val="24"/>
        </w:rPr>
        <w:t>,</w:t>
      </w:r>
      <w:r w:rsidRPr="00B32568">
        <w:rPr>
          <w:rFonts w:ascii="Times New Roman" w:hAnsi="Times New Roman"/>
          <w:sz w:val="24"/>
        </w:rPr>
        <w:t xml:space="preserve"> as exists in the jury trial system. The criterion for the admissibility of evidence is defined by some authors</w:t>
      </w:r>
      <w:r w:rsidR="009E2777" w:rsidRPr="00B32568">
        <w:rPr>
          <w:rFonts w:ascii="Times New Roman" w:hAnsi="Times New Roman"/>
          <w:sz w:val="24"/>
          <w:vertAlign w:val="superscript"/>
        </w:rPr>
        <w:footnoteReference w:id="32"/>
      </w:r>
      <w:r w:rsidRPr="00B32568">
        <w:rPr>
          <w:rFonts w:ascii="Times New Roman" w:hAnsi="Times New Roman"/>
          <w:sz w:val="24"/>
        </w:rPr>
        <w:t xml:space="preserve"> </w:t>
      </w:r>
      <w:r w:rsidR="009E2777" w:rsidRPr="00B32568">
        <w:rPr>
          <w:rFonts w:ascii="Times New Roman" w:hAnsi="Times New Roman"/>
          <w:sz w:val="24"/>
        </w:rPr>
        <w:t>in such a way that</w:t>
      </w:r>
      <w:r w:rsidRPr="00B32568">
        <w:rPr>
          <w:rFonts w:ascii="Times New Roman" w:hAnsi="Times New Roman"/>
          <w:sz w:val="24"/>
        </w:rPr>
        <w:t>, in addition to relevance, this evidence must contribute to the elucidation of the disputed facts, without wasting time and causing other "troubles" that their presentation could cause.</w:t>
      </w:r>
    </w:p>
    <w:p w:rsidR="00654C35" w:rsidRPr="00B32568" w:rsidRDefault="00654C35" w:rsidP="00EE4634">
      <w:pPr>
        <w:spacing w:after="0" w:line="240" w:lineRule="auto"/>
        <w:ind w:firstLine="708"/>
        <w:jc w:val="both"/>
        <w:rPr>
          <w:rFonts w:ascii="Times New Roman" w:hAnsi="Times New Roman"/>
          <w:sz w:val="24"/>
        </w:rPr>
      </w:pPr>
      <w:r w:rsidRPr="00B32568">
        <w:rPr>
          <w:rFonts w:ascii="Times New Roman" w:hAnsi="Times New Roman"/>
          <w:sz w:val="24"/>
        </w:rPr>
        <w:lastRenderedPageBreak/>
        <w:t>One of the fundamental rul</w:t>
      </w:r>
      <w:r w:rsidR="00812004" w:rsidRPr="00B32568">
        <w:rPr>
          <w:rFonts w:ascii="Times New Roman" w:hAnsi="Times New Roman"/>
          <w:sz w:val="24"/>
        </w:rPr>
        <w:t>es of English criminal proceedings is the prohibition of hearsay</w:t>
      </w:r>
      <w:r w:rsidRPr="00B32568">
        <w:rPr>
          <w:rFonts w:ascii="Times New Roman" w:hAnsi="Times New Roman"/>
          <w:sz w:val="24"/>
        </w:rPr>
        <w:t xml:space="preserve">. Thus, only a person who has testified about an event (an eyewitness, </w:t>
      </w:r>
      <w:r w:rsidRPr="00B32568">
        <w:rPr>
          <w:rFonts w:ascii="Times New Roman" w:hAnsi="Times New Roman"/>
          <w:i/>
          <w:sz w:val="24"/>
        </w:rPr>
        <w:t xml:space="preserve">testis de </w:t>
      </w:r>
      <w:proofErr w:type="spellStart"/>
      <w:r w:rsidRPr="00B32568">
        <w:rPr>
          <w:rFonts w:ascii="Times New Roman" w:hAnsi="Times New Roman"/>
          <w:i/>
          <w:sz w:val="24"/>
        </w:rPr>
        <w:t>scientia</w:t>
      </w:r>
      <w:proofErr w:type="spellEnd"/>
      <w:r w:rsidRPr="00B32568">
        <w:rPr>
          <w:rFonts w:ascii="Times New Roman" w:hAnsi="Times New Roman"/>
          <w:i/>
          <w:sz w:val="24"/>
        </w:rPr>
        <w:t xml:space="preserve"> </w:t>
      </w:r>
      <w:proofErr w:type="spellStart"/>
      <w:r w:rsidRPr="00B32568">
        <w:rPr>
          <w:rFonts w:ascii="Times New Roman" w:hAnsi="Times New Roman"/>
          <w:i/>
          <w:sz w:val="24"/>
        </w:rPr>
        <w:t>propria</w:t>
      </w:r>
      <w:proofErr w:type="spellEnd"/>
      <w:r w:rsidRPr="00B32568">
        <w:rPr>
          <w:rFonts w:ascii="Times New Roman" w:hAnsi="Times New Roman"/>
          <w:sz w:val="24"/>
        </w:rPr>
        <w:t>) or the circumstances to which he or she testifies are directly known to him or her</w:t>
      </w:r>
      <w:r w:rsidR="00812004" w:rsidRPr="00B32568">
        <w:rPr>
          <w:rFonts w:ascii="Times New Roman" w:hAnsi="Times New Roman"/>
          <w:sz w:val="24"/>
        </w:rPr>
        <w:t xml:space="preserve">, can be heard </w:t>
      </w:r>
      <w:r w:rsidRPr="00B32568">
        <w:rPr>
          <w:rFonts w:ascii="Times New Roman" w:hAnsi="Times New Roman"/>
          <w:sz w:val="24"/>
        </w:rPr>
        <w:t>as a witness in English crimina</w:t>
      </w:r>
      <w:r w:rsidR="00812004" w:rsidRPr="00B32568">
        <w:rPr>
          <w:rFonts w:ascii="Times New Roman" w:hAnsi="Times New Roman"/>
          <w:sz w:val="24"/>
        </w:rPr>
        <w:t>l proceedings, but not a hearsay</w:t>
      </w:r>
      <w:r w:rsidRPr="00B32568">
        <w:rPr>
          <w:rFonts w:ascii="Times New Roman" w:hAnsi="Times New Roman"/>
          <w:sz w:val="24"/>
        </w:rPr>
        <w:t xml:space="preserve"> witness (</w:t>
      </w:r>
      <w:r w:rsidRPr="00B32568">
        <w:rPr>
          <w:rFonts w:ascii="Times New Roman" w:hAnsi="Times New Roman"/>
          <w:i/>
          <w:sz w:val="24"/>
        </w:rPr>
        <w:t xml:space="preserve">testis de </w:t>
      </w:r>
      <w:proofErr w:type="spellStart"/>
      <w:r w:rsidRPr="00B32568">
        <w:rPr>
          <w:rFonts w:ascii="Times New Roman" w:hAnsi="Times New Roman"/>
          <w:i/>
          <w:sz w:val="24"/>
        </w:rPr>
        <w:t>auditu</w:t>
      </w:r>
      <w:proofErr w:type="spellEnd"/>
      <w:r w:rsidRPr="00B32568">
        <w:rPr>
          <w:rFonts w:ascii="Times New Roman" w:hAnsi="Times New Roman"/>
          <w:i/>
          <w:sz w:val="24"/>
        </w:rPr>
        <w:t xml:space="preserve">, de </w:t>
      </w:r>
      <w:proofErr w:type="spellStart"/>
      <w:r w:rsidRPr="00B32568">
        <w:rPr>
          <w:rFonts w:ascii="Times New Roman" w:hAnsi="Times New Roman"/>
          <w:i/>
          <w:sz w:val="24"/>
        </w:rPr>
        <w:t>scientia</w:t>
      </w:r>
      <w:proofErr w:type="spellEnd"/>
      <w:r w:rsidRPr="00B32568">
        <w:rPr>
          <w:rFonts w:ascii="Times New Roman" w:hAnsi="Times New Roman"/>
          <w:i/>
          <w:sz w:val="24"/>
        </w:rPr>
        <w:t xml:space="preserve"> </w:t>
      </w:r>
      <w:proofErr w:type="spellStart"/>
      <w:r w:rsidRPr="00B32568">
        <w:rPr>
          <w:rFonts w:ascii="Times New Roman" w:hAnsi="Times New Roman"/>
          <w:i/>
          <w:sz w:val="24"/>
        </w:rPr>
        <w:t>aliena</w:t>
      </w:r>
      <w:proofErr w:type="spellEnd"/>
      <w:r w:rsidRPr="00B32568">
        <w:rPr>
          <w:rFonts w:ascii="Times New Roman" w:hAnsi="Times New Roman"/>
          <w:sz w:val="24"/>
        </w:rPr>
        <w:t>). The reason for this prohibition lies in the danger that jurors may give too much importance to u</w:t>
      </w:r>
      <w:r w:rsidR="005A6295" w:rsidRPr="00B32568">
        <w:rPr>
          <w:rFonts w:ascii="Times New Roman" w:hAnsi="Times New Roman"/>
          <w:sz w:val="24"/>
        </w:rPr>
        <w:t>nreliable testimony of witness</w:t>
      </w:r>
      <w:r w:rsidRPr="00B32568">
        <w:rPr>
          <w:rFonts w:ascii="Times New Roman" w:hAnsi="Times New Roman"/>
          <w:sz w:val="24"/>
        </w:rPr>
        <w:t>, who cannot be adequately subjected to direct and cross-examination</w:t>
      </w:r>
      <w:r w:rsidR="005A6295" w:rsidRPr="00B32568">
        <w:rPr>
          <w:rFonts w:ascii="Times New Roman" w:hAnsi="Times New Roman"/>
          <w:sz w:val="24"/>
        </w:rPr>
        <w:t xml:space="preserve"> on these circumstances</w:t>
      </w:r>
      <w:r w:rsidRPr="00B32568">
        <w:rPr>
          <w:rFonts w:ascii="Times New Roman" w:hAnsi="Times New Roman"/>
          <w:sz w:val="24"/>
        </w:rPr>
        <w:t>.</w:t>
      </w:r>
    </w:p>
    <w:p w:rsidR="006D35B7" w:rsidRPr="00B32568" w:rsidRDefault="006D35B7" w:rsidP="00EE4634">
      <w:pPr>
        <w:spacing w:after="0" w:line="240" w:lineRule="auto"/>
        <w:ind w:firstLine="708"/>
        <w:jc w:val="both"/>
        <w:rPr>
          <w:rFonts w:ascii="Times New Roman" w:hAnsi="Times New Roman"/>
          <w:sz w:val="24"/>
        </w:rPr>
      </w:pPr>
    </w:p>
    <w:p w:rsidR="006D35B7" w:rsidRPr="00B32568" w:rsidRDefault="00291DF3" w:rsidP="00EE4634">
      <w:pPr>
        <w:spacing w:after="0" w:line="240" w:lineRule="auto"/>
        <w:jc w:val="center"/>
        <w:rPr>
          <w:rFonts w:ascii="Times New Roman" w:hAnsi="Times New Roman"/>
          <w:sz w:val="24"/>
        </w:rPr>
      </w:pPr>
      <w:r w:rsidRPr="00B32568">
        <w:rPr>
          <w:rFonts w:ascii="Times New Roman" w:hAnsi="Times New Roman"/>
          <w:sz w:val="24"/>
        </w:rPr>
        <w:t>6</w:t>
      </w:r>
      <w:r w:rsidR="006D35B7" w:rsidRPr="00B32568">
        <w:rPr>
          <w:rFonts w:ascii="Times New Roman" w:hAnsi="Times New Roman"/>
          <w:sz w:val="24"/>
        </w:rPr>
        <w:t xml:space="preserve">. </w:t>
      </w:r>
      <w:r w:rsidR="005A6295" w:rsidRPr="00B32568">
        <w:rPr>
          <w:rFonts w:ascii="Times New Roman" w:hAnsi="Times New Roman"/>
          <w:sz w:val="24"/>
        </w:rPr>
        <w:t>APPLICATION OF EXCLUSION RULE</w:t>
      </w:r>
    </w:p>
    <w:p w:rsidR="006D35B7" w:rsidRPr="00B32568" w:rsidRDefault="006D35B7" w:rsidP="00EE4634">
      <w:pPr>
        <w:spacing w:after="0" w:line="240" w:lineRule="auto"/>
        <w:jc w:val="both"/>
        <w:rPr>
          <w:rFonts w:ascii="Times New Roman" w:hAnsi="Times New Roman"/>
          <w:sz w:val="24"/>
        </w:rPr>
      </w:pPr>
    </w:p>
    <w:p w:rsidR="00654C35" w:rsidRPr="00B32568" w:rsidRDefault="00654C35" w:rsidP="00EE4634">
      <w:pPr>
        <w:spacing w:after="0" w:line="240" w:lineRule="auto"/>
        <w:ind w:firstLine="708"/>
        <w:jc w:val="both"/>
        <w:rPr>
          <w:rFonts w:ascii="Times New Roman" w:hAnsi="Times New Roman"/>
          <w:sz w:val="24"/>
        </w:rPr>
      </w:pPr>
      <w:r w:rsidRPr="00B32568">
        <w:rPr>
          <w:rFonts w:ascii="Times New Roman" w:hAnsi="Times New Roman"/>
          <w:sz w:val="24"/>
        </w:rPr>
        <w:t xml:space="preserve">In terms of inadmissible evidence, in English law there is an obligatory exclusion of illegally obtained defendant's confession from the evidence. The prosecution is required to prove beyond a reasonable doubt that the confession </w:t>
      </w:r>
      <w:r w:rsidR="00D05848" w:rsidRPr="00B32568">
        <w:rPr>
          <w:rFonts w:ascii="Times New Roman" w:hAnsi="Times New Roman"/>
          <w:sz w:val="24"/>
        </w:rPr>
        <w:t xml:space="preserve">was </w:t>
      </w:r>
      <w:r w:rsidRPr="00B32568">
        <w:rPr>
          <w:rFonts w:ascii="Times New Roman" w:hAnsi="Times New Roman"/>
          <w:sz w:val="24"/>
        </w:rPr>
        <w:t xml:space="preserve">not </w:t>
      </w:r>
      <w:r w:rsidR="00D05848" w:rsidRPr="00B32568">
        <w:rPr>
          <w:rFonts w:ascii="Times New Roman" w:hAnsi="Times New Roman"/>
          <w:sz w:val="24"/>
        </w:rPr>
        <w:t xml:space="preserve">acquired </w:t>
      </w:r>
      <w:r w:rsidRPr="00B32568">
        <w:rPr>
          <w:rFonts w:ascii="Times New Roman" w:hAnsi="Times New Roman"/>
          <w:sz w:val="24"/>
        </w:rPr>
        <w:t>under oppression</w:t>
      </w:r>
      <w:r w:rsidR="00D05848" w:rsidRPr="00B32568">
        <w:rPr>
          <w:rFonts w:ascii="Times New Roman" w:hAnsi="Times New Roman"/>
          <w:sz w:val="24"/>
          <w:vertAlign w:val="superscript"/>
        </w:rPr>
        <w:footnoteReference w:id="33"/>
      </w:r>
      <w:r w:rsidRPr="00B32568">
        <w:rPr>
          <w:rFonts w:ascii="Times New Roman" w:hAnsi="Times New Roman"/>
          <w:sz w:val="24"/>
        </w:rPr>
        <w:t xml:space="preserve"> or conduct by the examiner in any other way that would make such confession unreliable.</w:t>
      </w:r>
      <w:r w:rsidR="00D05848" w:rsidRPr="00B32568">
        <w:rPr>
          <w:rFonts w:ascii="Times New Roman" w:hAnsi="Times New Roman"/>
          <w:sz w:val="24"/>
          <w:vertAlign w:val="superscript"/>
        </w:rPr>
        <w:footnoteReference w:id="34"/>
      </w:r>
    </w:p>
    <w:p w:rsidR="00654C35" w:rsidRPr="00B32568" w:rsidRDefault="00654C35" w:rsidP="00EE4634">
      <w:pPr>
        <w:spacing w:after="0" w:line="240" w:lineRule="auto"/>
        <w:ind w:firstLine="708"/>
        <w:jc w:val="both"/>
        <w:rPr>
          <w:rFonts w:ascii="Times New Roman" w:hAnsi="Times New Roman"/>
          <w:sz w:val="24"/>
        </w:rPr>
      </w:pPr>
      <w:r w:rsidRPr="00B32568">
        <w:rPr>
          <w:rFonts w:ascii="Times New Roman" w:hAnsi="Times New Roman"/>
          <w:sz w:val="24"/>
        </w:rPr>
        <w:t xml:space="preserve">If the prosecution fails to prove this, the judge will exclude such a confession from the evidence without the presence of a jury, which is called a "trial within a trial". Although an absolute exclusionary rule applies to such </w:t>
      </w:r>
      <w:r w:rsidR="00DD3001" w:rsidRPr="00B32568">
        <w:rPr>
          <w:rFonts w:ascii="Times New Roman" w:hAnsi="Times New Roman"/>
          <w:sz w:val="24"/>
        </w:rPr>
        <w:t>a confession</w:t>
      </w:r>
      <w:r w:rsidRPr="00B32568">
        <w:rPr>
          <w:rFonts w:ascii="Times New Roman" w:hAnsi="Times New Roman"/>
          <w:sz w:val="24"/>
        </w:rPr>
        <w:t xml:space="preserve">, other evidence arising from such </w:t>
      </w:r>
      <w:r w:rsidR="00DD3001" w:rsidRPr="00B32568">
        <w:rPr>
          <w:rFonts w:ascii="Times New Roman" w:hAnsi="Times New Roman"/>
          <w:sz w:val="24"/>
        </w:rPr>
        <w:t xml:space="preserve">confession </w:t>
      </w:r>
      <w:proofErr w:type="gramStart"/>
      <w:r w:rsidR="00DD3001" w:rsidRPr="00B32568">
        <w:rPr>
          <w:rFonts w:ascii="Times New Roman" w:hAnsi="Times New Roman"/>
          <w:sz w:val="24"/>
        </w:rPr>
        <w:t>remain</w:t>
      </w:r>
      <w:proofErr w:type="gramEnd"/>
      <w:r w:rsidRPr="00B32568">
        <w:rPr>
          <w:rFonts w:ascii="Times New Roman" w:hAnsi="Times New Roman"/>
          <w:sz w:val="24"/>
        </w:rPr>
        <w:t xml:space="preserve"> in the file.</w:t>
      </w:r>
    </w:p>
    <w:p w:rsidR="00654C35" w:rsidRPr="00B32568" w:rsidRDefault="00654C35" w:rsidP="00EE4634">
      <w:pPr>
        <w:spacing w:after="0" w:line="240" w:lineRule="auto"/>
        <w:ind w:firstLine="708"/>
        <w:jc w:val="both"/>
        <w:rPr>
          <w:rFonts w:ascii="Times New Roman" w:hAnsi="Times New Roman"/>
          <w:sz w:val="24"/>
        </w:rPr>
      </w:pPr>
      <w:r w:rsidRPr="00B32568">
        <w:rPr>
          <w:rFonts w:ascii="Times New Roman" w:hAnsi="Times New Roman"/>
          <w:sz w:val="24"/>
        </w:rPr>
        <w:t xml:space="preserve">Likewise, a judge may exclude from the </w:t>
      </w:r>
      <w:r w:rsidR="00DD3001" w:rsidRPr="00B32568">
        <w:rPr>
          <w:rFonts w:ascii="Times New Roman" w:hAnsi="Times New Roman"/>
          <w:sz w:val="24"/>
        </w:rPr>
        <w:t xml:space="preserve">file </w:t>
      </w:r>
      <w:r w:rsidRPr="00B32568">
        <w:rPr>
          <w:rFonts w:ascii="Times New Roman" w:hAnsi="Times New Roman"/>
          <w:sz w:val="24"/>
        </w:rPr>
        <w:t>any evidence that he or she characterizes as “unfair evidence”.</w:t>
      </w:r>
      <w:r w:rsidR="00DD3001" w:rsidRPr="00B32568">
        <w:rPr>
          <w:rFonts w:ascii="Times New Roman" w:hAnsi="Times New Roman"/>
          <w:sz w:val="24"/>
          <w:vertAlign w:val="superscript"/>
        </w:rPr>
        <w:footnoteReference w:id="35"/>
      </w:r>
      <w:r w:rsidRPr="00B32568">
        <w:rPr>
          <w:rFonts w:ascii="Times New Roman" w:hAnsi="Times New Roman"/>
          <w:sz w:val="24"/>
        </w:rPr>
        <w:t xml:space="preserve"> This evidence should be such that it would have such a negative effect on fairness in </w:t>
      </w:r>
      <w:r w:rsidR="00B46FC9" w:rsidRPr="00B32568">
        <w:rPr>
          <w:rFonts w:ascii="Times New Roman" w:hAnsi="Times New Roman"/>
          <w:sz w:val="24"/>
        </w:rPr>
        <w:t>proceedings</w:t>
      </w:r>
      <w:r w:rsidR="00B46FC9" w:rsidRPr="00B32568">
        <w:rPr>
          <w:rFonts w:ascii="Times New Roman" w:hAnsi="Times New Roman"/>
          <w:sz w:val="24"/>
          <w:vertAlign w:val="superscript"/>
        </w:rPr>
        <w:footnoteReference w:id="36"/>
      </w:r>
      <w:r w:rsidR="00B46FC9" w:rsidRPr="00B32568">
        <w:rPr>
          <w:rFonts w:ascii="Times New Roman" w:hAnsi="Times New Roman"/>
          <w:sz w:val="24"/>
        </w:rPr>
        <w:t xml:space="preserve"> </w:t>
      </w:r>
      <w:r w:rsidRPr="00B32568">
        <w:rPr>
          <w:rFonts w:ascii="Times New Roman" w:hAnsi="Times New Roman"/>
          <w:sz w:val="24"/>
        </w:rPr>
        <w:t>that it should not be accepted.</w:t>
      </w:r>
    </w:p>
    <w:p w:rsidR="00654C35" w:rsidRPr="00B32568" w:rsidRDefault="00433831" w:rsidP="00EE4634">
      <w:pPr>
        <w:spacing w:after="0" w:line="240" w:lineRule="auto"/>
        <w:ind w:firstLine="708"/>
        <w:jc w:val="both"/>
        <w:rPr>
          <w:rFonts w:ascii="Times New Roman" w:hAnsi="Times New Roman"/>
          <w:sz w:val="24"/>
        </w:rPr>
      </w:pPr>
      <w:r w:rsidRPr="00B32568">
        <w:rPr>
          <w:rFonts w:ascii="Times New Roman" w:hAnsi="Times New Roman"/>
          <w:sz w:val="24"/>
        </w:rPr>
        <w:t>The exclusion</w:t>
      </w:r>
      <w:r w:rsidR="00654C35" w:rsidRPr="00B32568">
        <w:rPr>
          <w:rFonts w:ascii="Times New Roman" w:hAnsi="Times New Roman"/>
          <w:sz w:val="24"/>
        </w:rPr>
        <w:t xml:space="preserve"> rule, as we find in English criminal proceedings, is essentially a relative </w:t>
      </w:r>
      <w:r w:rsidR="00B17D16" w:rsidRPr="00B32568">
        <w:rPr>
          <w:rFonts w:ascii="Times New Roman" w:hAnsi="Times New Roman"/>
          <w:sz w:val="24"/>
        </w:rPr>
        <w:t>exclusion</w:t>
      </w:r>
      <w:r w:rsidR="00654C35" w:rsidRPr="00B32568">
        <w:rPr>
          <w:rFonts w:ascii="Times New Roman" w:hAnsi="Times New Roman"/>
          <w:sz w:val="24"/>
        </w:rPr>
        <w:t xml:space="preserve"> rule with a large discretion of the judge, where the </w:t>
      </w:r>
      <w:r w:rsidR="000442E8" w:rsidRPr="00B32568">
        <w:rPr>
          <w:rFonts w:ascii="Times New Roman" w:hAnsi="Times New Roman"/>
          <w:sz w:val="24"/>
        </w:rPr>
        <w:t>exclusion</w:t>
      </w:r>
      <w:r w:rsidR="00654C35" w:rsidRPr="00B32568">
        <w:rPr>
          <w:rFonts w:ascii="Times New Roman" w:hAnsi="Times New Roman"/>
          <w:sz w:val="24"/>
        </w:rPr>
        <w:t xml:space="preserve"> occurs by observing the circumstances of each individual case, and not automatically. On the other hand, i</w:t>
      </w:r>
      <w:r w:rsidR="00B17D16" w:rsidRPr="00B32568">
        <w:rPr>
          <w:rFonts w:ascii="Times New Roman" w:hAnsi="Times New Roman"/>
          <w:sz w:val="24"/>
        </w:rPr>
        <w:t>n the English criminal proceedings</w:t>
      </w:r>
      <w:r w:rsidR="00654C35" w:rsidRPr="00B32568">
        <w:rPr>
          <w:rFonts w:ascii="Times New Roman" w:hAnsi="Times New Roman"/>
          <w:sz w:val="24"/>
        </w:rPr>
        <w:t>, the scope of violations to which the exclusion rule applies is not large either. Finally, the</w:t>
      </w:r>
      <w:r w:rsidR="00B17D16" w:rsidRPr="00B32568">
        <w:rPr>
          <w:rFonts w:ascii="Times New Roman" w:hAnsi="Times New Roman"/>
          <w:sz w:val="24"/>
        </w:rPr>
        <w:t xml:space="preserve"> application of the exclusion</w:t>
      </w:r>
      <w:r w:rsidR="00654C35" w:rsidRPr="00B32568">
        <w:rPr>
          <w:rFonts w:ascii="Times New Roman" w:hAnsi="Times New Roman"/>
          <w:sz w:val="24"/>
        </w:rPr>
        <w:t xml:space="preserve"> rule in English proceedings also depends on the type of evidence. The mere fact of improper collection of evidence is not in itself sufficient to </w:t>
      </w:r>
      <w:r w:rsidR="000442E8" w:rsidRPr="00B32568">
        <w:rPr>
          <w:rFonts w:ascii="Times New Roman" w:hAnsi="Times New Roman"/>
          <w:sz w:val="24"/>
        </w:rPr>
        <w:t>exclude</w:t>
      </w:r>
      <w:r w:rsidR="00654C35" w:rsidRPr="00B32568">
        <w:rPr>
          <w:rFonts w:ascii="Times New Roman" w:hAnsi="Times New Roman"/>
          <w:sz w:val="24"/>
        </w:rPr>
        <w:t xml:space="preserve"> a particular piece of evidence.</w:t>
      </w:r>
      <w:r w:rsidR="000442E8" w:rsidRPr="00B32568">
        <w:rPr>
          <w:rStyle w:val="FootnoteReference"/>
          <w:rFonts w:ascii="Times New Roman" w:hAnsi="Times New Roman"/>
          <w:sz w:val="24"/>
        </w:rPr>
        <w:t xml:space="preserve"> </w:t>
      </w:r>
      <w:r w:rsidR="000442E8" w:rsidRPr="00B32568">
        <w:rPr>
          <w:rStyle w:val="FootnoteReference"/>
          <w:rFonts w:ascii="Times New Roman" w:hAnsi="Times New Roman"/>
          <w:sz w:val="24"/>
        </w:rPr>
        <w:footnoteReference w:id="37"/>
      </w:r>
      <w:r w:rsidR="00654C35" w:rsidRPr="00B32568">
        <w:rPr>
          <w:rFonts w:ascii="Times New Roman" w:hAnsi="Times New Roman"/>
          <w:sz w:val="24"/>
        </w:rPr>
        <w:t xml:space="preserve"> English law starts from the </w:t>
      </w:r>
      <w:r w:rsidR="000442E8" w:rsidRPr="00B32568">
        <w:rPr>
          <w:rFonts w:ascii="Times New Roman" w:hAnsi="Times New Roman"/>
          <w:sz w:val="24"/>
        </w:rPr>
        <w:t xml:space="preserve">assumption </w:t>
      </w:r>
      <w:r w:rsidR="00654C35" w:rsidRPr="00B32568">
        <w:rPr>
          <w:rFonts w:ascii="Times New Roman" w:hAnsi="Times New Roman"/>
          <w:sz w:val="24"/>
        </w:rPr>
        <w:t>that the illegal way of collecting material evidence usually does not affect the relevance of the evidence.</w:t>
      </w:r>
    </w:p>
    <w:p w:rsidR="00B25327" w:rsidRPr="00B32568" w:rsidRDefault="00B25327" w:rsidP="00EE4634">
      <w:pPr>
        <w:spacing w:after="0" w:line="240" w:lineRule="auto"/>
        <w:ind w:firstLine="708"/>
        <w:jc w:val="both"/>
        <w:rPr>
          <w:rFonts w:ascii="Times New Roman" w:hAnsi="Times New Roman"/>
          <w:sz w:val="24"/>
        </w:rPr>
      </w:pPr>
    </w:p>
    <w:p w:rsidR="00025ADF" w:rsidRPr="00B32568" w:rsidRDefault="00291DF3" w:rsidP="00EE4634">
      <w:pPr>
        <w:spacing w:after="0" w:line="240" w:lineRule="auto"/>
        <w:jc w:val="center"/>
        <w:rPr>
          <w:rFonts w:ascii="Times New Roman" w:hAnsi="Times New Roman"/>
          <w:sz w:val="24"/>
        </w:rPr>
      </w:pPr>
      <w:r w:rsidRPr="00B32568">
        <w:rPr>
          <w:rFonts w:ascii="Times New Roman" w:hAnsi="Times New Roman"/>
          <w:sz w:val="24"/>
        </w:rPr>
        <w:t>7</w:t>
      </w:r>
      <w:r w:rsidR="00095709" w:rsidRPr="00B32568">
        <w:rPr>
          <w:rFonts w:ascii="Times New Roman" w:hAnsi="Times New Roman"/>
          <w:sz w:val="24"/>
        </w:rPr>
        <w:t xml:space="preserve">. </w:t>
      </w:r>
      <w:r w:rsidR="000442E8" w:rsidRPr="00B32568">
        <w:rPr>
          <w:rFonts w:ascii="Times New Roman" w:hAnsi="Times New Roman"/>
          <w:sz w:val="24"/>
        </w:rPr>
        <w:t>CONCLUSION</w:t>
      </w:r>
    </w:p>
    <w:p w:rsidR="00B47FD1" w:rsidRPr="00B32568" w:rsidRDefault="00B47FD1" w:rsidP="00EE4634">
      <w:pPr>
        <w:spacing w:after="0" w:line="240" w:lineRule="auto"/>
        <w:jc w:val="both"/>
        <w:rPr>
          <w:rFonts w:ascii="Times New Roman" w:hAnsi="Times New Roman"/>
          <w:b/>
          <w:sz w:val="24"/>
        </w:rPr>
      </w:pPr>
    </w:p>
    <w:p w:rsidR="00654C35" w:rsidRPr="00B32568" w:rsidRDefault="00654C35" w:rsidP="00EE4634">
      <w:pPr>
        <w:spacing w:after="0" w:line="240" w:lineRule="auto"/>
        <w:ind w:firstLine="720"/>
        <w:jc w:val="both"/>
        <w:rPr>
          <w:rFonts w:ascii="Times New Roman" w:hAnsi="Times New Roman"/>
          <w:sz w:val="24"/>
        </w:rPr>
      </w:pPr>
      <w:r w:rsidRPr="00B32568">
        <w:rPr>
          <w:rFonts w:ascii="Times New Roman" w:hAnsi="Times New Roman"/>
          <w:sz w:val="24"/>
        </w:rPr>
        <w:t>For a continental lawyer</w:t>
      </w:r>
      <w:r w:rsidR="00F43C46" w:rsidRPr="00B32568">
        <w:rPr>
          <w:rFonts w:ascii="Times New Roman" w:hAnsi="Times New Roman"/>
          <w:sz w:val="24"/>
        </w:rPr>
        <w:t>, the English criminal proceedings</w:t>
      </w:r>
      <w:r w:rsidRPr="00B32568">
        <w:rPr>
          <w:rFonts w:ascii="Times New Roman" w:hAnsi="Times New Roman"/>
          <w:sz w:val="24"/>
        </w:rPr>
        <w:t xml:space="preserve"> </w:t>
      </w:r>
      <w:r w:rsidR="00F43C46" w:rsidRPr="00B32568">
        <w:rPr>
          <w:rFonts w:ascii="Times New Roman" w:hAnsi="Times New Roman"/>
          <w:sz w:val="24"/>
        </w:rPr>
        <w:t xml:space="preserve">are </w:t>
      </w:r>
      <w:r w:rsidRPr="00B32568">
        <w:rPr>
          <w:rFonts w:ascii="Times New Roman" w:hAnsi="Times New Roman"/>
          <w:sz w:val="24"/>
        </w:rPr>
        <w:t>quite distant and often very complex. The entire evidentiary procedure, the types of evidence, the manner of their collection, presentation and evaluation, differ to a greater or lesser extent from th</w:t>
      </w:r>
      <w:r w:rsidR="00F43C46" w:rsidRPr="00B32568">
        <w:rPr>
          <w:rFonts w:ascii="Times New Roman" w:hAnsi="Times New Roman"/>
          <w:sz w:val="24"/>
        </w:rPr>
        <w:t>e continental criminal proceedings</w:t>
      </w:r>
      <w:r w:rsidRPr="00B32568">
        <w:rPr>
          <w:rFonts w:ascii="Times New Roman" w:hAnsi="Times New Roman"/>
          <w:sz w:val="24"/>
        </w:rPr>
        <w:t>. T</w:t>
      </w:r>
      <w:r w:rsidR="00F43C46" w:rsidRPr="00B32568">
        <w:rPr>
          <w:rFonts w:ascii="Times New Roman" w:hAnsi="Times New Roman"/>
          <w:sz w:val="24"/>
        </w:rPr>
        <w:t>herefore, the issue of assessment</w:t>
      </w:r>
      <w:r w:rsidRPr="00B32568">
        <w:rPr>
          <w:rFonts w:ascii="Times New Roman" w:hAnsi="Times New Roman"/>
          <w:sz w:val="24"/>
        </w:rPr>
        <w:t xml:space="preserve"> </w:t>
      </w:r>
      <w:r w:rsidR="00F43C46" w:rsidRPr="00B32568">
        <w:rPr>
          <w:rFonts w:ascii="Times New Roman" w:hAnsi="Times New Roman"/>
          <w:sz w:val="24"/>
        </w:rPr>
        <w:t xml:space="preserve">of </w:t>
      </w:r>
      <w:r w:rsidRPr="00B32568">
        <w:rPr>
          <w:rFonts w:ascii="Times New Roman" w:hAnsi="Times New Roman"/>
          <w:sz w:val="24"/>
        </w:rPr>
        <w:t xml:space="preserve">legality of evidence and procedure after establishing that it is </w:t>
      </w:r>
      <w:r w:rsidR="00F43C46" w:rsidRPr="00B32568">
        <w:rPr>
          <w:rFonts w:ascii="Times New Roman" w:hAnsi="Times New Roman"/>
          <w:sz w:val="24"/>
        </w:rPr>
        <w:t xml:space="preserve">an </w:t>
      </w:r>
      <w:r w:rsidRPr="00B32568">
        <w:rPr>
          <w:rFonts w:ascii="Times New Roman" w:hAnsi="Times New Roman"/>
          <w:sz w:val="24"/>
        </w:rPr>
        <w:t xml:space="preserve">evidence collected in an illegal manner is an issue that is difficult to deal with without first presenting the concept of evidence </w:t>
      </w:r>
      <w:r w:rsidR="00F43C46" w:rsidRPr="00B32568">
        <w:rPr>
          <w:rFonts w:ascii="Times New Roman" w:hAnsi="Times New Roman"/>
          <w:sz w:val="24"/>
        </w:rPr>
        <w:t xml:space="preserve">law </w:t>
      </w:r>
      <w:r w:rsidRPr="00B32568">
        <w:rPr>
          <w:rFonts w:ascii="Times New Roman" w:hAnsi="Times New Roman"/>
          <w:sz w:val="24"/>
        </w:rPr>
        <w:t xml:space="preserve">and evidence </w:t>
      </w:r>
      <w:r w:rsidR="00F43C46" w:rsidRPr="00B32568">
        <w:rPr>
          <w:rFonts w:ascii="Times New Roman" w:hAnsi="Times New Roman"/>
          <w:sz w:val="24"/>
        </w:rPr>
        <w:t xml:space="preserve">proceedings </w:t>
      </w:r>
      <w:r w:rsidRPr="00B32568">
        <w:rPr>
          <w:rFonts w:ascii="Times New Roman" w:hAnsi="Times New Roman"/>
          <w:sz w:val="24"/>
        </w:rPr>
        <w:t>in general. The question of the</w:t>
      </w:r>
      <w:r w:rsidR="00F43C46" w:rsidRPr="00B32568">
        <w:rPr>
          <w:rFonts w:ascii="Times New Roman" w:hAnsi="Times New Roman"/>
          <w:sz w:val="24"/>
        </w:rPr>
        <w:t xml:space="preserve"> application of the exclusion</w:t>
      </w:r>
      <w:r w:rsidRPr="00B32568">
        <w:rPr>
          <w:rFonts w:ascii="Times New Roman" w:hAnsi="Times New Roman"/>
          <w:sz w:val="24"/>
        </w:rPr>
        <w:t xml:space="preserve"> rule, absolute or relative, therefore</w:t>
      </w:r>
      <w:r w:rsidR="00F43C46" w:rsidRPr="00B32568">
        <w:rPr>
          <w:rFonts w:ascii="Times New Roman" w:hAnsi="Times New Roman"/>
          <w:sz w:val="24"/>
        </w:rPr>
        <w:t>,</w:t>
      </w:r>
      <w:r w:rsidRPr="00B32568">
        <w:rPr>
          <w:rFonts w:ascii="Times New Roman" w:hAnsi="Times New Roman"/>
          <w:sz w:val="24"/>
        </w:rPr>
        <w:t xml:space="preserve"> also </w:t>
      </w:r>
      <w:r w:rsidRPr="00B32568">
        <w:rPr>
          <w:rFonts w:ascii="Times New Roman" w:hAnsi="Times New Roman"/>
          <w:sz w:val="24"/>
        </w:rPr>
        <w:lastRenderedPageBreak/>
        <w:t>differs in relation to</w:t>
      </w:r>
      <w:r w:rsidR="00F43C46" w:rsidRPr="00B32568">
        <w:rPr>
          <w:rFonts w:ascii="Times New Roman" w:hAnsi="Times New Roman"/>
          <w:sz w:val="24"/>
        </w:rPr>
        <w:t xml:space="preserve"> the continental proceedings</w:t>
      </w:r>
      <w:r w:rsidRPr="00B32568">
        <w:rPr>
          <w:rFonts w:ascii="Times New Roman" w:hAnsi="Times New Roman"/>
          <w:sz w:val="24"/>
        </w:rPr>
        <w:t>, and often in relation to the Amer</w:t>
      </w:r>
      <w:r w:rsidR="00F43C46" w:rsidRPr="00B32568">
        <w:rPr>
          <w:rFonts w:ascii="Times New Roman" w:hAnsi="Times New Roman"/>
          <w:sz w:val="24"/>
        </w:rPr>
        <w:t>ican model of criminal proceedings</w:t>
      </w:r>
      <w:r w:rsidRPr="00B32568">
        <w:rPr>
          <w:rFonts w:ascii="Times New Roman" w:hAnsi="Times New Roman"/>
          <w:sz w:val="24"/>
        </w:rPr>
        <w:t xml:space="preserve">. </w:t>
      </w:r>
      <w:r w:rsidR="00F41916">
        <w:rPr>
          <w:rFonts w:ascii="Times New Roman" w:hAnsi="Times New Roman"/>
          <w:sz w:val="24"/>
        </w:rPr>
        <w:t>Generally speaking,</w:t>
      </w:r>
      <w:r w:rsidR="00F43C46" w:rsidRPr="00B32568">
        <w:rPr>
          <w:rFonts w:ascii="Times New Roman" w:hAnsi="Times New Roman"/>
          <w:sz w:val="24"/>
        </w:rPr>
        <w:t xml:space="preserve"> relative exclusion</w:t>
      </w:r>
      <w:r w:rsidRPr="00B32568">
        <w:rPr>
          <w:rFonts w:ascii="Times New Roman" w:hAnsi="Times New Roman"/>
          <w:sz w:val="24"/>
        </w:rPr>
        <w:t xml:space="preserve"> rule applies in English criminal proceedings, with certai</w:t>
      </w:r>
      <w:r w:rsidR="00F43C46" w:rsidRPr="00B32568">
        <w:rPr>
          <w:rFonts w:ascii="Times New Roman" w:hAnsi="Times New Roman"/>
          <w:sz w:val="24"/>
        </w:rPr>
        <w:t>n rare examples of an absolute exclusion</w:t>
      </w:r>
      <w:r w:rsidRPr="00B32568">
        <w:rPr>
          <w:rFonts w:ascii="Times New Roman" w:hAnsi="Times New Roman"/>
          <w:sz w:val="24"/>
        </w:rPr>
        <w:t xml:space="preserve"> rule. Furthermore, the scope and types of violations differ in order for the exclusion rule to be applied at all. What we can generally say is that the conce</w:t>
      </w:r>
      <w:r w:rsidR="00F43C46" w:rsidRPr="00B32568">
        <w:rPr>
          <w:rFonts w:ascii="Times New Roman" w:hAnsi="Times New Roman"/>
          <w:sz w:val="24"/>
        </w:rPr>
        <w:t>pt of English criminal proceedings</w:t>
      </w:r>
      <w:r w:rsidRPr="00B32568">
        <w:rPr>
          <w:rFonts w:ascii="Times New Roman" w:hAnsi="Times New Roman"/>
          <w:sz w:val="24"/>
        </w:rPr>
        <w:t xml:space="preserve"> is more pragmatic when it comes to </w:t>
      </w:r>
      <w:r w:rsidR="00F43C46" w:rsidRPr="00B32568">
        <w:rPr>
          <w:rFonts w:ascii="Times New Roman" w:hAnsi="Times New Roman"/>
          <w:sz w:val="24"/>
        </w:rPr>
        <w:t xml:space="preserve">exclusion of </w:t>
      </w:r>
      <w:r w:rsidRPr="00B32568">
        <w:rPr>
          <w:rFonts w:ascii="Times New Roman" w:hAnsi="Times New Roman"/>
          <w:sz w:val="24"/>
        </w:rPr>
        <w:t xml:space="preserve">evidence </w:t>
      </w:r>
      <w:r w:rsidR="00F43C46" w:rsidRPr="00B32568">
        <w:rPr>
          <w:rFonts w:ascii="Times New Roman" w:hAnsi="Times New Roman"/>
          <w:sz w:val="24"/>
        </w:rPr>
        <w:t>than the American criminal proceedings</w:t>
      </w:r>
      <w:r w:rsidRPr="00B32568">
        <w:rPr>
          <w:rFonts w:ascii="Times New Roman" w:hAnsi="Times New Roman"/>
          <w:sz w:val="24"/>
        </w:rPr>
        <w:t xml:space="preserve">, and in a way </w:t>
      </w:r>
      <w:r w:rsidR="00F43C46" w:rsidRPr="00B32568">
        <w:rPr>
          <w:rFonts w:ascii="Times New Roman" w:hAnsi="Times New Roman"/>
          <w:sz w:val="24"/>
        </w:rPr>
        <w:t xml:space="preserve">it </w:t>
      </w:r>
      <w:r w:rsidRPr="00B32568">
        <w:rPr>
          <w:rFonts w:ascii="Times New Roman" w:hAnsi="Times New Roman"/>
          <w:sz w:val="24"/>
        </w:rPr>
        <w:t xml:space="preserve">reconciles the application of important principles of criminal procedure law - the right to </w:t>
      </w:r>
      <w:r w:rsidR="00F43C46" w:rsidRPr="00B32568">
        <w:rPr>
          <w:rFonts w:ascii="Times New Roman" w:hAnsi="Times New Roman"/>
          <w:sz w:val="24"/>
        </w:rPr>
        <w:t>fairness and the principle</w:t>
      </w:r>
      <w:r w:rsidRPr="00B32568">
        <w:rPr>
          <w:rFonts w:ascii="Times New Roman" w:hAnsi="Times New Roman"/>
          <w:sz w:val="24"/>
        </w:rPr>
        <w:t xml:space="preserve"> of material truth.</w:t>
      </w:r>
    </w:p>
    <w:p w:rsidR="00147619" w:rsidRPr="00B32568" w:rsidRDefault="00147619" w:rsidP="00EE4634">
      <w:pPr>
        <w:spacing w:line="240" w:lineRule="auto"/>
        <w:rPr>
          <w:rFonts w:ascii="Times New Roman" w:hAnsi="Times New Roman" w:cs="Times New Roman"/>
          <w:b/>
          <w:sz w:val="24"/>
          <w:szCs w:val="24"/>
        </w:rPr>
      </w:pPr>
    </w:p>
    <w:p w:rsidR="00A83C46" w:rsidRPr="00B32568" w:rsidRDefault="00654C35" w:rsidP="00EE4634">
      <w:pPr>
        <w:spacing w:line="240" w:lineRule="auto"/>
        <w:jc w:val="center"/>
        <w:rPr>
          <w:rFonts w:ascii="Times New Roman" w:hAnsi="Times New Roman" w:cs="Times New Roman"/>
          <w:sz w:val="24"/>
          <w:szCs w:val="24"/>
        </w:rPr>
      </w:pPr>
      <w:r w:rsidRPr="00B32568">
        <w:rPr>
          <w:rFonts w:ascii="Times New Roman" w:hAnsi="Times New Roman" w:cs="Times New Roman"/>
          <w:sz w:val="24"/>
          <w:szCs w:val="24"/>
        </w:rPr>
        <w:t>LITERATURE</w:t>
      </w:r>
    </w:p>
    <w:p w:rsidR="00CD1C44" w:rsidRPr="00B32568" w:rsidRDefault="00C31B93" w:rsidP="00EE4634">
      <w:pPr>
        <w:pStyle w:val="FootnoteText"/>
        <w:ind w:firstLine="720"/>
        <w:jc w:val="both"/>
        <w:rPr>
          <w:sz w:val="24"/>
          <w:szCs w:val="24"/>
          <w:lang w:val="en-US"/>
        </w:rPr>
      </w:pPr>
      <w:r w:rsidRPr="00B32568">
        <w:rPr>
          <w:sz w:val="24"/>
          <w:szCs w:val="24"/>
          <w:lang w:val="en-US"/>
        </w:rPr>
        <w:t>Goddard Tim, Myers Randolph R., „Against evidence-based oppression: Marginalized youth and the politics of risk-based assessment and intervention“</w:t>
      </w:r>
      <w:r w:rsidRPr="00B32568">
        <w:rPr>
          <w:i/>
          <w:sz w:val="24"/>
          <w:szCs w:val="24"/>
          <w:lang w:val="en-US"/>
        </w:rPr>
        <w:t>, Theoretical Criminology, Florida International University USA</w:t>
      </w:r>
      <w:r w:rsidRPr="00B32568">
        <w:rPr>
          <w:sz w:val="24"/>
          <w:szCs w:val="24"/>
          <w:lang w:val="en-US"/>
        </w:rPr>
        <w:t>, Volume: 21 issue 2, (2016)</w:t>
      </w:r>
      <w:r w:rsidR="00CD1C44" w:rsidRPr="00B32568">
        <w:rPr>
          <w:sz w:val="24"/>
          <w:szCs w:val="24"/>
          <w:lang w:val="en-US"/>
        </w:rPr>
        <w:t>.</w:t>
      </w:r>
    </w:p>
    <w:p w:rsidR="00C31B93" w:rsidRPr="00B32568" w:rsidRDefault="00F85352" w:rsidP="00EE4634">
      <w:pPr>
        <w:pStyle w:val="FootnoteText"/>
        <w:ind w:firstLine="720"/>
        <w:jc w:val="both"/>
        <w:rPr>
          <w:sz w:val="24"/>
          <w:szCs w:val="24"/>
          <w:lang w:val="en-US"/>
        </w:rPr>
      </w:pPr>
      <w:proofErr w:type="spellStart"/>
      <w:r w:rsidRPr="00B32568">
        <w:rPr>
          <w:sz w:val="24"/>
          <w:szCs w:val="24"/>
          <w:lang w:val="en-US"/>
        </w:rPr>
        <w:t>Дамашка</w:t>
      </w:r>
      <w:proofErr w:type="spellEnd"/>
      <w:r w:rsidRPr="00B32568">
        <w:rPr>
          <w:sz w:val="24"/>
          <w:szCs w:val="24"/>
          <w:lang w:val="en-US"/>
        </w:rPr>
        <w:t xml:space="preserve">, </w:t>
      </w:r>
      <w:proofErr w:type="spellStart"/>
      <w:r w:rsidRPr="00B32568">
        <w:rPr>
          <w:sz w:val="24"/>
          <w:szCs w:val="24"/>
          <w:lang w:val="en-US"/>
        </w:rPr>
        <w:t>Мирјан</w:t>
      </w:r>
      <w:proofErr w:type="spellEnd"/>
      <w:r w:rsidR="004C2564" w:rsidRPr="00B32568">
        <w:rPr>
          <w:sz w:val="24"/>
          <w:szCs w:val="24"/>
          <w:lang w:val="en-US"/>
        </w:rPr>
        <w:t xml:space="preserve">, </w:t>
      </w:r>
      <w:proofErr w:type="spellStart"/>
      <w:r w:rsidRPr="00B32568">
        <w:rPr>
          <w:i/>
          <w:sz w:val="24"/>
          <w:szCs w:val="24"/>
          <w:lang w:val="en-US"/>
        </w:rPr>
        <w:t>Лица</w:t>
      </w:r>
      <w:proofErr w:type="spellEnd"/>
      <w:r w:rsidR="004C2564" w:rsidRPr="00B32568">
        <w:rPr>
          <w:i/>
          <w:sz w:val="24"/>
          <w:szCs w:val="24"/>
          <w:lang w:val="en-US"/>
        </w:rPr>
        <w:t xml:space="preserve"> </w:t>
      </w:r>
      <w:proofErr w:type="spellStart"/>
      <w:r w:rsidRPr="00B32568">
        <w:rPr>
          <w:i/>
          <w:sz w:val="24"/>
          <w:szCs w:val="24"/>
          <w:lang w:val="en-US"/>
        </w:rPr>
        <w:t>правосуђа</w:t>
      </w:r>
      <w:proofErr w:type="spellEnd"/>
      <w:r w:rsidR="004C2564" w:rsidRPr="00B32568">
        <w:rPr>
          <w:i/>
          <w:sz w:val="24"/>
          <w:szCs w:val="24"/>
          <w:lang w:val="en-US"/>
        </w:rPr>
        <w:t xml:space="preserve"> </w:t>
      </w:r>
      <w:r w:rsidRPr="00B32568">
        <w:rPr>
          <w:i/>
          <w:sz w:val="24"/>
          <w:szCs w:val="24"/>
          <w:lang w:val="en-US"/>
        </w:rPr>
        <w:t>и</w:t>
      </w:r>
      <w:r w:rsidR="004C2564" w:rsidRPr="00B32568">
        <w:rPr>
          <w:i/>
          <w:sz w:val="24"/>
          <w:szCs w:val="24"/>
          <w:lang w:val="en-US"/>
        </w:rPr>
        <w:t xml:space="preserve"> </w:t>
      </w:r>
      <w:proofErr w:type="spellStart"/>
      <w:r w:rsidRPr="00B32568">
        <w:rPr>
          <w:i/>
          <w:sz w:val="24"/>
          <w:szCs w:val="24"/>
          <w:lang w:val="en-US"/>
        </w:rPr>
        <w:t>државна</w:t>
      </w:r>
      <w:proofErr w:type="spellEnd"/>
      <w:r w:rsidR="004C2564" w:rsidRPr="00B32568">
        <w:rPr>
          <w:i/>
          <w:sz w:val="24"/>
          <w:szCs w:val="24"/>
          <w:lang w:val="en-US"/>
        </w:rPr>
        <w:t xml:space="preserve"> </w:t>
      </w:r>
      <w:proofErr w:type="spellStart"/>
      <w:r w:rsidRPr="00B32568">
        <w:rPr>
          <w:i/>
          <w:sz w:val="24"/>
          <w:szCs w:val="24"/>
          <w:lang w:val="en-US"/>
        </w:rPr>
        <w:t>власт</w:t>
      </w:r>
      <w:proofErr w:type="spellEnd"/>
      <w:r w:rsidR="004C2564" w:rsidRPr="00B32568">
        <w:rPr>
          <w:i/>
          <w:sz w:val="24"/>
          <w:szCs w:val="24"/>
          <w:lang w:val="en-US"/>
        </w:rPr>
        <w:t xml:space="preserve">, </w:t>
      </w:r>
      <w:proofErr w:type="spellStart"/>
      <w:r w:rsidRPr="00B32568">
        <w:rPr>
          <w:i/>
          <w:sz w:val="24"/>
          <w:szCs w:val="24"/>
          <w:lang w:val="en-US"/>
        </w:rPr>
        <w:t>Успоредни</w:t>
      </w:r>
      <w:proofErr w:type="spellEnd"/>
      <w:r w:rsidR="004C2564" w:rsidRPr="00B32568">
        <w:rPr>
          <w:i/>
          <w:sz w:val="24"/>
          <w:szCs w:val="24"/>
          <w:lang w:val="en-US"/>
        </w:rPr>
        <w:t xml:space="preserve"> </w:t>
      </w:r>
      <w:proofErr w:type="spellStart"/>
      <w:r w:rsidRPr="00B32568">
        <w:rPr>
          <w:i/>
          <w:sz w:val="24"/>
          <w:szCs w:val="24"/>
          <w:lang w:val="en-US"/>
        </w:rPr>
        <w:t>приказ</w:t>
      </w:r>
      <w:proofErr w:type="spellEnd"/>
      <w:r w:rsidR="004C2564" w:rsidRPr="00B32568">
        <w:rPr>
          <w:i/>
          <w:sz w:val="24"/>
          <w:szCs w:val="24"/>
          <w:lang w:val="en-US"/>
        </w:rPr>
        <w:t xml:space="preserve"> </w:t>
      </w:r>
      <w:proofErr w:type="spellStart"/>
      <w:r w:rsidRPr="00B32568">
        <w:rPr>
          <w:i/>
          <w:sz w:val="24"/>
          <w:szCs w:val="24"/>
          <w:lang w:val="en-US"/>
        </w:rPr>
        <w:t>правосудних</w:t>
      </w:r>
      <w:proofErr w:type="spellEnd"/>
      <w:r w:rsidR="004C2564" w:rsidRPr="00B32568">
        <w:rPr>
          <w:i/>
          <w:sz w:val="24"/>
          <w:szCs w:val="24"/>
          <w:lang w:val="en-US"/>
        </w:rPr>
        <w:t xml:space="preserve"> </w:t>
      </w:r>
      <w:proofErr w:type="spellStart"/>
      <w:r w:rsidRPr="00B32568">
        <w:rPr>
          <w:i/>
          <w:sz w:val="24"/>
          <w:szCs w:val="24"/>
          <w:lang w:val="en-US"/>
        </w:rPr>
        <w:t>сустава</w:t>
      </w:r>
      <w:proofErr w:type="spellEnd"/>
      <w:r w:rsidRPr="00B32568">
        <w:rPr>
          <w:sz w:val="24"/>
          <w:szCs w:val="24"/>
          <w:lang w:val="en-US"/>
        </w:rPr>
        <w:t xml:space="preserve">, </w:t>
      </w:r>
      <w:proofErr w:type="spellStart"/>
      <w:r w:rsidRPr="00B32568">
        <w:rPr>
          <w:sz w:val="24"/>
          <w:szCs w:val="24"/>
          <w:lang w:val="en-US"/>
        </w:rPr>
        <w:t>превод</w:t>
      </w:r>
      <w:proofErr w:type="spellEnd"/>
      <w:r w:rsidRPr="00B32568">
        <w:rPr>
          <w:sz w:val="24"/>
          <w:szCs w:val="24"/>
          <w:lang w:val="en-US"/>
        </w:rPr>
        <w:t xml:space="preserve"> (</w:t>
      </w:r>
      <w:proofErr w:type="spellStart"/>
      <w:r w:rsidRPr="00B32568">
        <w:rPr>
          <w:sz w:val="24"/>
          <w:szCs w:val="24"/>
          <w:lang w:val="en-US"/>
        </w:rPr>
        <w:t>Загреб</w:t>
      </w:r>
      <w:proofErr w:type="spellEnd"/>
      <w:r w:rsidRPr="00B32568">
        <w:rPr>
          <w:sz w:val="24"/>
          <w:szCs w:val="24"/>
          <w:lang w:val="en-US"/>
        </w:rPr>
        <w:t xml:space="preserve">: </w:t>
      </w:r>
      <w:proofErr w:type="spellStart"/>
      <w:r w:rsidRPr="00B32568">
        <w:rPr>
          <w:sz w:val="24"/>
          <w:szCs w:val="24"/>
          <w:lang w:val="en-US"/>
        </w:rPr>
        <w:t>Накладни</w:t>
      </w:r>
      <w:proofErr w:type="spellEnd"/>
      <w:r w:rsidR="004C2564" w:rsidRPr="00B32568">
        <w:rPr>
          <w:sz w:val="24"/>
          <w:szCs w:val="24"/>
          <w:lang w:val="en-US"/>
        </w:rPr>
        <w:t xml:space="preserve"> </w:t>
      </w:r>
      <w:proofErr w:type="spellStart"/>
      <w:r w:rsidRPr="00B32568">
        <w:rPr>
          <w:sz w:val="24"/>
          <w:szCs w:val="24"/>
          <w:lang w:val="en-US"/>
        </w:rPr>
        <w:t>завод</w:t>
      </w:r>
      <w:proofErr w:type="spellEnd"/>
      <w:r w:rsidR="004C2564" w:rsidRPr="00B32568">
        <w:rPr>
          <w:sz w:val="24"/>
          <w:szCs w:val="24"/>
          <w:lang w:val="en-US"/>
        </w:rPr>
        <w:t xml:space="preserve"> </w:t>
      </w:r>
      <w:proofErr w:type="spellStart"/>
      <w:r w:rsidRPr="00B32568">
        <w:rPr>
          <w:sz w:val="24"/>
          <w:szCs w:val="24"/>
          <w:lang w:val="en-US"/>
        </w:rPr>
        <w:t>Глобус</w:t>
      </w:r>
      <w:proofErr w:type="spellEnd"/>
      <w:r w:rsidR="004C2564" w:rsidRPr="00B32568">
        <w:rPr>
          <w:sz w:val="24"/>
          <w:szCs w:val="24"/>
          <w:lang w:val="en-US"/>
        </w:rPr>
        <w:t>, 2008</w:t>
      </w:r>
      <w:r w:rsidRPr="00B32568">
        <w:rPr>
          <w:sz w:val="24"/>
          <w:szCs w:val="24"/>
          <w:lang w:val="en-US"/>
        </w:rPr>
        <w:t>)</w:t>
      </w:r>
      <w:r w:rsidR="004C2564" w:rsidRPr="00B32568">
        <w:rPr>
          <w:sz w:val="24"/>
          <w:szCs w:val="24"/>
          <w:lang w:val="en-US"/>
        </w:rPr>
        <w:t>.</w:t>
      </w:r>
    </w:p>
    <w:p w:rsidR="00C31B93" w:rsidRPr="00B32568" w:rsidRDefault="00C31B93" w:rsidP="00EE4634">
      <w:pPr>
        <w:pStyle w:val="FootnoteText"/>
        <w:ind w:firstLine="720"/>
        <w:jc w:val="both"/>
        <w:rPr>
          <w:sz w:val="24"/>
          <w:szCs w:val="24"/>
          <w:lang w:val="en-US"/>
        </w:rPr>
      </w:pPr>
      <w:proofErr w:type="spellStart"/>
      <w:r w:rsidRPr="00B32568">
        <w:rPr>
          <w:sz w:val="24"/>
          <w:szCs w:val="24"/>
          <w:lang w:val="en-US"/>
        </w:rPr>
        <w:t>Zuckermann</w:t>
      </w:r>
      <w:proofErr w:type="spellEnd"/>
      <w:r w:rsidRPr="00B32568">
        <w:rPr>
          <w:sz w:val="24"/>
          <w:szCs w:val="24"/>
          <w:lang w:val="en-US"/>
        </w:rPr>
        <w:t>, Adrian</w:t>
      </w:r>
      <w:r w:rsidRPr="00B32568">
        <w:rPr>
          <w:i/>
          <w:sz w:val="24"/>
          <w:szCs w:val="24"/>
          <w:lang w:val="en-US"/>
        </w:rPr>
        <w:t xml:space="preserve"> </w:t>
      </w:r>
      <w:proofErr w:type="gramStart"/>
      <w:r w:rsidRPr="00B32568">
        <w:rPr>
          <w:i/>
          <w:sz w:val="24"/>
          <w:szCs w:val="24"/>
          <w:lang w:val="en-US"/>
        </w:rPr>
        <w:t>The</w:t>
      </w:r>
      <w:proofErr w:type="gramEnd"/>
      <w:r w:rsidRPr="00B32568">
        <w:rPr>
          <w:i/>
          <w:sz w:val="24"/>
          <w:szCs w:val="24"/>
          <w:lang w:val="en-US"/>
        </w:rPr>
        <w:t xml:space="preserve"> Principles of Criminal Evidence</w:t>
      </w:r>
      <w:r w:rsidRPr="00B32568">
        <w:rPr>
          <w:sz w:val="24"/>
          <w:szCs w:val="24"/>
          <w:lang w:val="en-US"/>
        </w:rPr>
        <w:t xml:space="preserve"> (Oxford: Clarendon Press, 1989).</w:t>
      </w:r>
    </w:p>
    <w:p w:rsidR="00C31B93" w:rsidRPr="00B32568" w:rsidRDefault="004C2564" w:rsidP="00EE4634">
      <w:pPr>
        <w:pStyle w:val="FootnoteText"/>
        <w:ind w:firstLine="720"/>
        <w:jc w:val="both"/>
        <w:rPr>
          <w:sz w:val="24"/>
          <w:szCs w:val="24"/>
          <w:lang w:val="en-US"/>
        </w:rPr>
      </w:pPr>
      <w:proofErr w:type="spellStart"/>
      <w:r w:rsidRPr="00B32568">
        <w:rPr>
          <w:sz w:val="24"/>
          <w:szCs w:val="24"/>
          <w:lang w:val="en-US"/>
        </w:rPr>
        <w:t>Ibettson</w:t>
      </w:r>
      <w:proofErr w:type="spellEnd"/>
      <w:r w:rsidR="00D15C92" w:rsidRPr="00B32568">
        <w:rPr>
          <w:sz w:val="24"/>
          <w:szCs w:val="24"/>
          <w:lang w:val="en-US"/>
        </w:rPr>
        <w:t>, David</w:t>
      </w:r>
      <w:r w:rsidR="00F85352" w:rsidRPr="00B32568">
        <w:rPr>
          <w:sz w:val="24"/>
          <w:szCs w:val="24"/>
          <w:lang w:val="en-US"/>
        </w:rPr>
        <w:t>,</w:t>
      </w:r>
      <w:r w:rsidRPr="00B32568">
        <w:rPr>
          <w:sz w:val="24"/>
          <w:szCs w:val="24"/>
          <w:lang w:val="en-US"/>
        </w:rPr>
        <w:t xml:space="preserve"> </w:t>
      </w:r>
      <w:r w:rsidRPr="00B32568">
        <w:rPr>
          <w:i/>
          <w:sz w:val="24"/>
          <w:szCs w:val="24"/>
          <w:lang w:val="en-US"/>
        </w:rPr>
        <w:t xml:space="preserve">Common Law and </w:t>
      </w:r>
      <w:proofErr w:type="spellStart"/>
      <w:r w:rsidRPr="00B32568">
        <w:rPr>
          <w:i/>
          <w:sz w:val="24"/>
          <w:szCs w:val="24"/>
          <w:lang w:val="en-US"/>
        </w:rPr>
        <w:t>Ius</w:t>
      </w:r>
      <w:proofErr w:type="spellEnd"/>
      <w:r w:rsidRPr="00B32568">
        <w:rPr>
          <w:i/>
          <w:sz w:val="24"/>
          <w:szCs w:val="24"/>
          <w:lang w:val="en-US"/>
        </w:rPr>
        <w:t xml:space="preserve"> Commune</w:t>
      </w:r>
      <w:r w:rsidR="00F85352" w:rsidRPr="00B32568">
        <w:rPr>
          <w:sz w:val="24"/>
          <w:szCs w:val="24"/>
          <w:lang w:val="en-US"/>
        </w:rPr>
        <w:t xml:space="preserve"> </w:t>
      </w:r>
      <w:r w:rsidR="00F85352" w:rsidRPr="00B32568">
        <w:rPr>
          <w:rFonts w:cs="Times New Roman"/>
          <w:sz w:val="24"/>
          <w:szCs w:val="24"/>
          <w:lang w:val="en-US"/>
        </w:rPr>
        <w:t>(</w:t>
      </w:r>
      <w:r w:rsidR="00F85352" w:rsidRPr="00B32568">
        <w:rPr>
          <w:rFonts w:eastAsia="Arial Unicode MS" w:cs="Times New Roman"/>
          <w:color w:val="000000"/>
          <w:sz w:val="24"/>
          <w:szCs w:val="24"/>
          <w:shd w:val="clear" w:color="auto" w:fill="FFFFFF"/>
          <w:lang w:val="en-US"/>
        </w:rPr>
        <w:t xml:space="preserve">London: </w:t>
      </w:r>
      <w:r w:rsidRPr="00B32568">
        <w:rPr>
          <w:sz w:val="24"/>
          <w:szCs w:val="24"/>
          <w:lang w:val="en-US"/>
        </w:rPr>
        <w:t>Selden Society, 2001</w:t>
      </w:r>
      <w:r w:rsidR="00F85352" w:rsidRPr="00B32568">
        <w:rPr>
          <w:sz w:val="24"/>
          <w:szCs w:val="24"/>
          <w:lang w:val="en-US"/>
        </w:rPr>
        <w:t>)</w:t>
      </w:r>
      <w:r w:rsidRPr="00B32568">
        <w:rPr>
          <w:sz w:val="24"/>
          <w:szCs w:val="24"/>
          <w:lang w:val="en-US"/>
        </w:rPr>
        <w:t>.</w:t>
      </w:r>
    </w:p>
    <w:p w:rsidR="00C31B93" w:rsidRPr="00B32568" w:rsidRDefault="004C2564" w:rsidP="00EE4634">
      <w:pPr>
        <w:pStyle w:val="FootnoteText"/>
        <w:ind w:firstLine="720"/>
        <w:jc w:val="both"/>
        <w:rPr>
          <w:sz w:val="24"/>
          <w:szCs w:val="24"/>
          <w:lang w:val="en-US"/>
        </w:rPr>
      </w:pPr>
      <w:r w:rsidRPr="00B32568">
        <w:rPr>
          <w:sz w:val="24"/>
          <w:szCs w:val="24"/>
          <w:lang w:val="en-US"/>
        </w:rPr>
        <w:t>Keane</w:t>
      </w:r>
      <w:r w:rsidR="00B7138A" w:rsidRPr="00B32568">
        <w:rPr>
          <w:sz w:val="24"/>
          <w:szCs w:val="24"/>
          <w:lang w:val="en-US"/>
        </w:rPr>
        <w:t>, Adrian</w:t>
      </w:r>
      <w:r w:rsidRPr="00B32568">
        <w:rPr>
          <w:sz w:val="24"/>
          <w:szCs w:val="24"/>
          <w:lang w:val="en-US"/>
        </w:rPr>
        <w:t xml:space="preserve">, </w:t>
      </w:r>
      <w:proofErr w:type="gramStart"/>
      <w:r w:rsidRPr="00B32568">
        <w:rPr>
          <w:i/>
          <w:sz w:val="24"/>
          <w:szCs w:val="24"/>
          <w:lang w:val="en-US"/>
        </w:rPr>
        <w:t>The</w:t>
      </w:r>
      <w:proofErr w:type="gramEnd"/>
      <w:r w:rsidRPr="00B32568">
        <w:rPr>
          <w:i/>
          <w:sz w:val="24"/>
          <w:szCs w:val="24"/>
          <w:lang w:val="en-US"/>
        </w:rPr>
        <w:t xml:space="preserve"> Modern Law of Evidence</w:t>
      </w:r>
      <w:r w:rsidRPr="00B32568">
        <w:rPr>
          <w:sz w:val="24"/>
          <w:szCs w:val="24"/>
          <w:lang w:val="en-US"/>
        </w:rPr>
        <w:t xml:space="preserve"> </w:t>
      </w:r>
      <w:r w:rsidR="00B7138A" w:rsidRPr="00B32568">
        <w:rPr>
          <w:sz w:val="24"/>
          <w:szCs w:val="24"/>
          <w:lang w:val="en-US"/>
        </w:rPr>
        <w:t>(Oxford:</w:t>
      </w:r>
      <w:r w:rsidRPr="00B32568">
        <w:rPr>
          <w:sz w:val="24"/>
          <w:szCs w:val="24"/>
          <w:lang w:val="en-US"/>
        </w:rPr>
        <w:t xml:space="preserve"> Oxford University Press, 2008</w:t>
      </w:r>
      <w:r w:rsidR="00B7138A" w:rsidRPr="00B32568">
        <w:rPr>
          <w:sz w:val="24"/>
          <w:szCs w:val="24"/>
          <w:lang w:val="en-US"/>
        </w:rPr>
        <w:t>)</w:t>
      </w:r>
      <w:r w:rsidRPr="00B32568">
        <w:rPr>
          <w:sz w:val="24"/>
          <w:szCs w:val="24"/>
          <w:lang w:val="en-US"/>
        </w:rPr>
        <w:t>.</w:t>
      </w:r>
    </w:p>
    <w:p w:rsidR="00CD1C44" w:rsidRPr="00B32568" w:rsidRDefault="003E7D8D" w:rsidP="00EE4634">
      <w:pPr>
        <w:pStyle w:val="FootnoteText"/>
        <w:ind w:firstLine="720"/>
        <w:jc w:val="both"/>
        <w:rPr>
          <w:sz w:val="24"/>
          <w:szCs w:val="24"/>
          <w:lang w:val="en-US"/>
        </w:rPr>
      </w:pPr>
      <w:proofErr w:type="spellStart"/>
      <w:r w:rsidRPr="00B32568">
        <w:rPr>
          <w:sz w:val="24"/>
          <w:szCs w:val="24"/>
          <w:lang w:val="en-US"/>
        </w:rPr>
        <w:t>Крапац</w:t>
      </w:r>
      <w:proofErr w:type="spellEnd"/>
      <w:r w:rsidRPr="00B32568">
        <w:rPr>
          <w:i/>
          <w:sz w:val="24"/>
          <w:szCs w:val="24"/>
          <w:lang w:val="en-US"/>
        </w:rPr>
        <w:t>,</w:t>
      </w:r>
      <w:r w:rsidRPr="00B32568">
        <w:rPr>
          <w:sz w:val="24"/>
          <w:szCs w:val="24"/>
          <w:lang w:val="en-US"/>
        </w:rPr>
        <w:t xml:space="preserve"> </w:t>
      </w:r>
      <w:proofErr w:type="spellStart"/>
      <w:r w:rsidRPr="00B32568">
        <w:rPr>
          <w:sz w:val="24"/>
          <w:szCs w:val="24"/>
          <w:lang w:val="en-US"/>
        </w:rPr>
        <w:t>Давор</w:t>
      </w:r>
      <w:proofErr w:type="spellEnd"/>
      <w:r w:rsidRPr="00B32568">
        <w:rPr>
          <w:i/>
          <w:sz w:val="24"/>
          <w:szCs w:val="24"/>
          <w:lang w:val="en-US"/>
        </w:rPr>
        <w:t xml:space="preserve">, </w:t>
      </w:r>
      <w:proofErr w:type="spellStart"/>
      <w:r w:rsidRPr="00B32568">
        <w:rPr>
          <w:i/>
          <w:sz w:val="24"/>
          <w:szCs w:val="24"/>
          <w:lang w:val="en-US"/>
        </w:rPr>
        <w:t>Енглески</w:t>
      </w:r>
      <w:proofErr w:type="spellEnd"/>
      <w:r w:rsidRPr="00B32568">
        <w:rPr>
          <w:i/>
          <w:sz w:val="24"/>
          <w:szCs w:val="24"/>
          <w:lang w:val="en-US"/>
        </w:rPr>
        <w:t xml:space="preserve"> </w:t>
      </w:r>
      <w:proofErr w:type="spellStart"/>
      <w:r w:rsidRPr="00B32568">
        <w:rPr>
          <w:i/>
          <w:sz w:val="24"/>
          <w:szCs w:val="24"/>
          <w:lang w:val="en-US"/>
        </w:rPr>
        <w:t>казнени</w:t>
      </w:r>
      <w:proofErr w:type="spellEnd"/>
      <w:r w:rsidRPr="00B32568">
        <w:rPr>
          <w:i/>
          <w:sz w:val="24"/>
          <w:szCs w:val="24"/>
          <w:lang w:val="en-US"/>
        </w:rPr>
        <w:t xml:space="preserve"> </w:t>
      </w:r>
      <w:proofErr w:type="spellStart"/>
      <w:r w:rsidRPr="00B32568">
        <w:rPr>
          <w:i/>
          <w:sz w:val="24"/>
          <w:szCs w:val="24"/>
          <w:lang w:val="en-US"/>
        </w:rPr>
        <w:t>поступак</w:t>
      </w:r>
      <w:proofErr w:type="spellEnd"/>
      <w:r w:rsidRPr="00B32568">
        <w:rPr>
          <w:i/>
          <w:sz w:val="24"/>
          <w:szCs w:val="24"/>
          <w:lang w:val="en-US"/>
        </w:rPr>
        <w:t xml:space="preserve"> </w:t>
      </w:r>
      <w:r w:rsidRPr="00B32568">
        <w:rPr>
          <w:sz w:val="24"/>
          <w:szCs w:val="24"/>
          <w:lang w:val="en-US"/>
        </w:rPr>
        <w:t>(</w:t>
      </w:r>
      <w:proofErr w:type="spellStart"/>
      <w:r w:rsidRPr="00B32568">
        <w:rPr>
          <w:sz w:val="24"/>
          <w:szCs w:val="24"/>
          <w:lang w:val="en-US"/>
        </w:rPr>
        <w:t>Загреб</w:t>
      </w:r>
      <w:proofErr w:type="spellEnd"/>
      <w:r w:rsidRPr="00B32568">
        <w:rPr>
          <w:sz w:val="24"/>
          <w:szCs w:val="24"/>
          <w:lang w:val="en-US"/>
        </w:rPr>
        <w:t xml:space="preserve">: </w:t>
      </w:r>
      <w:proofErr w:type="spellStart"/>
      <w:r w:rsidRPr="00B32568">
        <w:rPr>
          <w:sz w:val="24"/>
          <w:szCs w:val="24"/>
          <w:lang w:val="en-US"/>
        </w:rPr>
        <w:t>Правни</w:t>
      </w:r>
      <w:proofErr w:type="spellEnd"/>
      <w:r w:rsidRPr="00B32568">
        <w:rPr>
          <w:sz w:val="24"/>
          <w:szCs w:val="24"/>
          <w:lang w:val="en-US"/>
        </w:rPr>
        <w:t xml:space="preserve"> </w:t>
      </w:r>
      <w:proofErr w:type="spellStart"/>
      <w:r w:rsidRPr="00B32568">
        <w:rPr>
          <w:sz w:val="24"/>
          <w:szCs w:val="24"/>
          <w:lang w:val="en-US"/>
        </w:rPr>
        <w:t>факултет</w:t>
      </w:r>
      <w:proofErr w:type="spellEnd"/>
      <w:r w:rsidRPr="00B32568">
        <w:rPr>
          <w:sz w:val="24"/>
          <w:szCs w:val="24"/>
          <w:lang w:val="en-US"/>
        </w:rPr>
        <w:t>, 1995).</w:t>
      </w:r>
    </w:p>
    <w:p w:rsidR="00CD1C44" w:rsidRPr="00B32568" w:rsidRDefault="00CD1C44" w:rsidP="00EE4634">
      <w:pPr>
        <w:pStyle w:val="FootnoteText"/>
        <w:ind w:firstLine="720"/>
        <w:jc w:val="both"/>
        <w:rPr>
          <w:sz w:val="24"/>
          <w:szCs w:val="24"/>
          <w:lang w:val="en-US"/>
        </w:rPr>
      </w:pPr>
      <w:r w:rsidRPr="00B32568">
        <w:rPr>
          <w:sz w:val="24"/>
          <w:szCs w:val="24"/>
          <w:lang w:val="en-US"/>
        </w:rPr>
        <w:t xml:space="preserve">Leiter, </w:t>
      </w:r>
      <w:r w:rsidRPr="00B32568">
        <w:rPr>
          <w:rFonts w:cs="Times New Roman"/>
          <w:sz w:val="24"/>
          <w:szCs w:val="24"/>
          <w:shd w:val="clear" w:color="auto" w:fill="FFFFFF"/>
          <w:lang w:val="en-US"/>
        </w:rPr>
        <w:t>Brian</w:t>
      </w:r>
      <w:r w:rsidRPr="00B32568">
        <w:rPr>
          <w:sz w:val="24"/>
          <w:szCs w:val="24"/>
          <w:lang w:val="en-US"/>
        </w:rPr>
        <w:t>, „Legal formalism and legal realism: what is the issue</w:t>
      </w:r>
      <w:proofErr w:type="gramStart"/>
      <w:r w:rsidRPr="00B32568">
        <w:rPr>
          <w:sz w:val="24"/>
          <w:szCs w:val="24"/>
          <w:lang w:val="en-US"/>
        </w:rPr>
        <w:t>?“</w:t>
      </w:r>
      <w:proofErr w:type="gramEnd"/>
      <w:r w:rsidRPr="00B32568">
        <w:rPr>
          <w:sz w:val="24"/>
          <w:szCs w:val="24"/>
          <w:lang w:val="en-US"/>
        </w:rPr>
        <w:t>,</w:t>
      </w:r>
      <w:r w:rsidRPr="00B32568">
        <w:rPr>
          <w:i/>
          <w:sz w:val="24"/>
          <w:szCs w:val="24"/>
          <w:lang w:val="en-US"/>
        </w:rPr>
        <w:t xml:space="preserve"> </w:t>
      </w:r>
      <w:r w:rsidRPr="00B32568">
        <w:rPr>
          <w:sz w:val="24"/>
          <w:szCs w:val="24"/>
          <w:lang w:val="en-US"/>
        </w:rPr>
        <w:t>Cambridge University Press, Volume 16, Issue 2, (2010).</w:t>
      </w:r>
    </w:p>
    <w:p w:rsidR="00CD1C44" w:rsidRPr="00B32568" w:rsidRDefault="00CD1C44" w:rsidP="00EE4634">
      <w:pPr>
        <w:pStyle w:val="FootnoteText"/>
        <w:ind w:firstLine="720"/>
        <w:jc w:val="both"/>
        <w:rPr>
          <w:sz w:val="24"/>
          <w:szCs w:val="24"/>
          <w:lang w:val="en-US"/>
        </w:rPr>
      </w:pPr>
      <w:proofErr w:type="gramStart"/>
      <w:r w:rsidRPr="00B32568">
        <w:rPr>
          <w:sz w:val="24"/>
          <w:szCs w:val="24"/>
          <w:lang w:val="en-US"/>
        </w:rPr>
        <w:t xml:space="preserve">Lin </w:t>
      </w:r>
      <w:r w:rsidRPr="00B32568">
        <w:rPr>
          <w:rFonts w:cs="Times New Roman"/>
          <w:sz w:val="24"/>
          <w:szCs w:val="24"/>
          <w:shd w:val="clear" w:color="auto" w:fill="FFFFFF"/>
          <w:lang w:val="en-US"/>
        </w:rPr>
        <w:t xml:space="preserve">Tan </w:t>
      </w:r>
      <w:proofErr w:type="spellStart"/>
      <w:r w:rsidRPr="00B32568">
        <w:rPr>
          <w:rFonts w:cs="Times New Roman"/>
          <w:sz w:val="24"/>
          <w:szCs w:val="24"/>
          <w:shd w:val="clear" w:color="auto" w:fill="FFFFFF"/>
          <w:lang w:val="en-US"/>
        </w:rPr>
        <w:t>Yock</w:t>
      </w:r>
      <w:proofErr w:type="spellEnd"/>
      <w:r w:rsidRPr="00B32568">
        <w:rPr>
          <w:sz w:val="24"/>
          <w:szCs w:val="24"/>
          <w:lang w:val="en-US"/>
        </w:rPr>
        <w:t xml:space="preserve"> “Weight of oral evidence in criminal proceedings“,</w:t>
      </w:r>
      <w:r w:rsidRPr="00B32568">
        <w:rPr>
          <w:i/>
          <w:sz w:val="24"/>
          <w:szCs w:val="24"/>
          <w:lang w:val="en-US"/>
        </w:rPr>
        <w:t xml:space="preserve"> Singapore Journal of Legal Studies,</w:t>
      </w:r>
      <w:r w:rsidRPr="00B32568">
        <w:rPr>
          <w:sz w:val="24"/>
          <w:szCs w:val="24"/>
          <w:lang w:val="en-US"/>
        </w:rPr>
        <w:t xml:space="preserve"> Faculty of Law, National University of Singapore, (2000).</w:t>
      </w:r>
      <w:proofErr w:type="gramEnd"/>
    </w:p>
    <w:p w:rsidR="00CD1C44" w:rsidRPr="00B32568" w:rsidRDefault="00CD1C44" w:rsidP="00EE4634">
      <w:pPr>
        <w:pStyle w:val="FootnoteText"/>
        <w:ind w:firstLine="720"/>
        <w:jc w:val="both"/>
        <w:rPr>
          <w:sz w:val="24"/>
          <w:szCs w:val="24"/>
          <w:lang w:val="en-US"/>
        </w:rPr>
      </w:pPr>
      <w:proofErr w:type="spellStart"/>
      <w:proofErr w:type="gramStart"/>
      <w:r w:rsidRPr="00B32568">
        <w:rPr>
          <w:sz w:val="24"/>
          <w:szCs w:val="24"/>
          <w:lang w:val="en-US"/>
        </w:rPr>
        <w:t>Loevinger</w:t>
      </w:r>
      <w:proofErr w:type="spellEnd"/>
      <w:r w:rsidRPr="00B32568">
        <w:rPr>
          <w:sz w:val="24"/>
          <w:szCs w:val="24"/>
          <w:lang w:val="en-US"/>
        </w:rPr>
        <w:t xml:space="preserve">, </w:t>
      </w:r>
      <w:proofErr w:type="spellStart"/>
      <w:r w:rsidRPr="00B32568">
        <w:rPr>
          <w:sz w:val="24"/>
          <w:szCs w:val="24"/>
          <w:lang w:val="en-US"/>
        </w:rPr>
        <w:t>Lее</w:t>
      </w:r>
      <w:proofErr w:type="spellEnd"/>
      <w:r w:rsidRPr="00B32568">
        <w:rPr>
          <w:sz w:val="24"/>
          <w:szCs w:val="24"/>
          <w:lang w:val="en-US"/>
        </w:rPr>
        <w:t>, “Facts, Evidence and Legal Proof“,</w:t>
      </w:r>
      <w:r w:rsidRPr="00B32568">
        <w:rPr>
          <w:i/>
          <w:sz w:val="24"/>
          <w:szCs w:val="24"/>
          <w:lang w:val="en-US"/>
        </w:rPr>
        <w:t xml:space="preserve"> Case Western Reserve Law Review</w:t>
      </w:r>
      <w:r w:rsidRPr="00B32568">
        <w:rPr>
          <w:sz w:val="24"/>
          <w:szCs w:val="24"/>
          <w:lang w:val="en-US"/>
        </w:rPr>
        <w:t>, Volume 9, Issue 2, (1958).</w:t>
      </w:r>
      <w:proofErr w:type="gramEnd"/>
    </w:p>
    <w:p w:rsidR="00CD1C44" w:rsidRPr="00B32568" w:rsidRDefault="00CD1C44" w:rsidP="00EE4634">
      <w:pPr>
        <w:pStyle w:val="FootnoteText"/>
        <w:ind w:firstLine="720"/>
        <w:jc w:val="both"/>
        <w:rPr>
          <w:sz w:val="24"/>
          <w:szCs w:val="24"/>
          <w:lang w:val="en-US"/>
        </w:rPr>
      </w:pPr>
      <w:proofErr w:type="spellStart"/>
      <w:r w:rsidRPr="00B32568">
        <w:rPr>
          <w:sz w:val="24"/>
          <w:szCs w:val="24"/>
          <w:lang w:val="en-US"/>
        </w:rPr>
        <w:t>Horder</w:t>
      </w:r>
      <w:proofErr w:type="spellEnd"/>
      <w:r w:rsidRPr="00B32568">
        <w:rPr>
          <w:sz w:val="24"/>
          <w:szCs w:val="24"/>
          <w:lang w:val="en-US"/>
        </w:rPr>
        <w:t xml:space="preserve">, </w:t>
      </w:r>
      <w:r w:rsidRPr="00B32568">
        <w:rPr>
          <w:rFonts w:cs="Times New Roman"/>
          <w:sz w:val="24"/>
          <w:szCs w:val="24"/>
          <w:shd w:val="clear" w:color="auto" w:fill="FFFFFF"/>
          <w:lang w:val="en-US"/>
        </w:rPr>
        <w:t>Jeremy</w:t>
      </w:r>
      <w:r w:rsidRPr="00B32568">
        <w:rPr>
          <w:rFonts w:ascii="Arial" w:hAnsi="Arial" w:cs="Arial"/>
          <w:color w:val="666666"/>
          <w:sz w:val="24"/>
          <w:szCs w:val="24"/>
          <w:shd w:val="clear" w:color="auto" w:fill="FFFFFF"/>
          <w:lang w:val="en-US"/>
        </w:rPr>
        <w:t xml:space="preserve">, </w:t>
      </w:r>
      <w:r w:rsidRPr="00B32568">
        <w:rPr>
          <w:sz w:val="24"/>
          <w:szCs w:val="24"/>
          <w:lang w:val="en-US"/>
        </w:rPr>
        <w:t xml:space="preserve">„Criminal law between determinism, liberalism and criminal justice“, </w:t>
      </w:r>
      <w:r w:rsidRPr="00B32568">
        <w:rPr>
          <w:i/>
          <w:sz w:val="24"/>
          <w:szCs w:val="24"/>
          <w:lang w:val="en-US"/>
        </w:rPr>
        <w:t>Current Legal Problems</w:t>
      </w:r>
      <w:r w:rsidRPr="00B32568">
        <w:rPr>
          <w:sz w:val="24"/>
          <w:szCs w:val="24"/>
          <w:lang w:val="en-US"/>
        </w:rPr>
        <w:t>, Volume 49, Issue 1, Oxford Academic, (1996).</w:t>
      </w:r>
    </w:p>
    <w:p w:rsidR="00CD1C44" w:rsidRPr="00B32568" w:rsidRDefault="00CD1C44" w:rsidP="00EE4634">
      <w:pPr>
        <w:pStyle w:val="FootnoteText"/>
        <w:ind w:firstLine="720"/>
        <w:jc w:val="both"/>
        <w:rPr>
          <w:sz w:val="24"/>
          <w:szCs w:val="24"/>
          <w:lang w:val="en-US"/>
        </w:rPr>
      </w:pPr>
      <w:proofErr w:type="gramStart"/>
      <w:r w:rsidRPr="00B32568">
        <w:rPr>
          <w:sz w:val="24"/>
          <w:szCs w:val="24"/>
          <w:lang w:val="en-US"/>
        </w:rPr>
        <w:t xml:space="preserve">McGrath, Mice, Clemens, Carolyn, „The Child Victim as a Witness in Sexual Abuse Cases“, </w:t>
      </w:r>
      <w:r w:rsidRPr="00B32568">
        <w:rPr>
          <w:i/>
          <w:sz w:val="24"/>
          <w:szCs w:val="24"/>
          <w:lang w:val="en-US"/>
        </w:rPr>
        <w:t>Montana Law Review</w:t>
      </w:r>
      <w:r w:rsidRPr="00B32568">
        <w:rPr>
          <w:sz w:val="24"/>
          <w:szCs w:val="24"/>
          <w:lang w:val="en-US"/>
        </w:rPr>
        <w:t>, Volume 46, Issue 2, Article 1, (1985).</w:t>
      </w:r>
      <w:proofErr w:type="gramEnd"/>
    </w:p>
    <w:p w:rsidR="00CD1C44" w:rsidRPr="00B32568" w:rsidRDefault="00CD1C44" w:rsidP="00EE4634">
      <w:pPr>
        <w:pStyle w:val="FootnoteText"/>
        <w:ind w:firstLine="720"/>
        <w:jc w:val="both"/>
        <w:rPr>
          <w:sz w:val="24"/>
          <w:szCs w:val="24"/>
          <w:lang w:val="en-US"/>
        </w:rPr>
      </w:pPr>
      <w:proofErr w:type="spellStart"/>
      <w:r w:rsidRPr="00B32568">
        <w:rPr>
          <w:sz w:val="24"/>
          <w:szCs w:val="24"/>
          <w:lang w:val="en-US"/>
        </w:rPr>
        <w:t>Mousourakis</w:t>
      </w:r>
      <w:proofErr w:type="spellEnd"/>
      <w:r w:rsidRPr="00B32568">
        <w:rPr>
          <w:sz w:val="24"/>
          <w:szCs w:val="24"/>
          <w:lang w:val="en-US"/>
        </w:rPr>
        <w:t xml:space="preserve">, </w:t>
      </w:r>
      <w:r w:rsidRPr="00B32568">
        <w:rPr>
          <w:rFonts w:cs="Times New Roman"/>
          <w:sz w:val="24"/>
          <w:szCs w:val="24"/>
          <w:shd w:val="clear" w:color="auto" w:fill="FFFFFF"/>
          <w:lang w:val="en-US"/>
        </w:rPr>
        <w:t>George</w:t>
      </w:r>
      <w:r w:rsidRPr="00B32568">
        <w:rPr>
          <w:sz w:val="24"/>
          <w:szCs w:val="24"/>
          <w:lang w:val="en-US"/>
        </w:rPr>
        <w:t xml:space="preserve">, „The Survival and Resurgence of Roman Law in Western Europe“, chap. 7 of </w:t>
      </w:r>
      <w:r w:rsidRPr="00B32568">
        <w:rPr>
          <w:i/>
          <w:sz w:val="24"/>
          <w:szCs w:val="24"/>
          <w:lang w:val="en-US"/>
        </w:rPr>
        <w:t xml:space="preserve">Roman </w:t>
      </w:r>
      <w:proofErr w:type="gramStart"/>
      <w:r w:rsidRPr="00B32568">
        <w:rPr>
          <w:i/>
          <w:sz w:val="24"/>
          <w:szCs w:val="24"/>
          <w:lang w:val="en-US"/>
        </w:rPr>
        <w:t>Law</w:t>
      </w:r>
      <w:proofErr w:type="gramEnd"/>
      <w:r w:rsidRPr="00B32568">
        <w:rPr>
          <w:i/>
          <w:sz w:val="24"/>
          <w:szCs w:val="24"/>
          <w:lang w:val="en-US"/>
        </w:rPr>
        <w:t xml:space="preserve"> and the Origins of the Civil Law Tradition</w:t>
      </w:r>
      <w:r w:rsidRPr="00B32568">
        <w:rPr>
          <w:sz w:val="24"/>
          <w:szCs w:val="24"/>
          <w:lang w:val="en-US"/>
        </w:rPr>
        <w:t>, Springer, (2015).</w:t>
      </w:r>
    </w:p>
    <w:p w:rsidR="00CD1C44" w:rsidRPr="00B32568" w:rsidRDefault="00CD1C44" w:rsidP="00EE4634">
      <w:pPr>
        <w:pStyle w:val="FootnoteText"/>
        <w:ind w:firstLine="720"/>
        <w:jc w:val="both"/>
        <w:rPr>
          <w:sz w:val="24"/>
          <w:szCs w:val="24"/>
          <w:lang w:val="en-US"/>
        </w:rPr>
      </w:pPr>
      <w:proofErr w:type="spellStart"/>
      <w:r w:rsidRPr="00B32568">
        <w:rPr>
          <w:sz w:val="24"/>
          <w:szCs w:val="24"/>
          <w:lang w:val="en-US"/>
        </w:rPr>
        <w:t>Nurcombe</w:t>
      </w:r>
      <w:proofErr w:type="spellEnd"/>
      <w:r w:rsidRPr="00B32568">
        <w:rPr>
          <w:sz w:val="24"/>
          <w:szCs w:val="24"/>
          <w:lang w:val="en-US"/>
        </w:rPr>
        <w:t xml:space="preserve"> </w:t>
      </w:r>
      <w:r w:rsidRPr="00B32568">
        <w:rPr>
          <w:rFonts w:cs="Times New Roman"/>
          <w:sz w:val="24"/>
          <w:szCs w:val="24"/>
          <w:shd w:val="clear" w:color="auto" w:fill="FFFFFF"/>
          <w:lang w:val="en-US"/>
        </w:rPr>
        <w:t>Barry</w:t>
      </w:r>
      <w:r w:rsidRPr="00B32568">
        <w:rPr>
          <w:sz w:val="24"/>
          <w:szCs w:val="24"/>
          <w:lang w:val="en-US"/>
        </w:rPr>
        <w:t>, „The Child as Witness: Competency and Credibility“,</w:t>
      </w:r>
      <w:r w:rsidRPr="00B32568">
        <w:rPr>
          <w:i/>
          <w:sz w:val="24"/>
          <w:szCs w:val="24"/>
          <w:lang w:val="en-US"/>
        </w:rPr>
        <w:t xml:space="preserve"> Journal of the American Academy of Child Psychiatry</w:t>
      </w:r>
      <w:r w:rsidRPr="00B32568">
        <w:rPr>
          <w:sz w:val="24"/>
          <w:szCs w:val="24"/>
          <w:lang w:val="en-US"/>
        </w:rPr>
        <w:t>, 25 (1986).</w:t>
      </w:r>
    </w:p>
    <w:p w:rsidR="00CD1C44" w:rsidRPr="00B32568" w:rsidRDefault="00DF5D0E" w:rsidP="00EE4634">
      <w:pPr>
        <w:pStyle w:val="FootnoteText"/>
        <w:ind w:firstLine="720"/>
        <w:jc w:val="both"/>
        <w:rPr>
          <w:sz w:val="24"/>
          <w:szCs w:val="24"/>
          <w:lang w:val="en-US"/>
        </w:rPr>
      </w:pPr>
      <w:proofErr w:type="spellStart"/>
      <w:proofErr w:type="gramStart"/>
      <w:r w:rsidRPr="00B32568">
        <w:rPr>
          <w:sz w:val="24"/>
          <w:szCs w:val="24"/>
          <w:lang w:val="en-US"/>
        </w:rPr>
        <w:t>Phipson</w:t>
      </w:r>
      <w:proofErr w:type="spellEnd"/>
      <w:r w:rsidRPr="00B32568">
        <w:rPr>
          <w:sz w:val="24"/>
          <w:szCs w:val="24"/>
          <w:lang w:val="en-US"/>
        </w:rPr>
        <w:t>, Sidney L., „Real</w:t>
      </w:r>
      <w:r w:rsidR="00CD1C44" w:rsidRPr="00B32568">
        <w:rPr>
          <w:sz w:val="24"/>
          <w:szCs w:val="24"/>
          <w:lang w:val="en-US"/>
        </w:rPr>
        <w:t xml:space="preserve"> evidence“, </w:t>
      </w:r>
      <w:r w:rsidR="00CD1C44" w:rsidRPr="00B32568">
        <w:rPr>
          <w:i/>
          <w:sz w:val="24"/>
          <w:szCs w:val="24"/>
          <w:lang w:val="en-US"/>
        </w:rPr>
        <w:t>Yale Law Journal</w:t>
      </w:r>
      <w:r w:rsidR="00CD1C44" w:rsidRPr="00B32568">
        <w:rPr>
          <w:sz w:val="24"/>
          <w:szCs w:val="24"/>
          <w:lang w:val="en-US"/>
        </w:rPr>
        <w:t>, Volume 29, Issue 7 Article 1 (1920).</w:t>
      </w:r>
      <w:proofErr w:type="gramEnd"/>
    </w:p>
    <w:p w:rsidR="00CD1C44" w:rsidRPr="00B32568" w:rsidRDefault="00CD1C44" w:rsidP="00EE4634">
      <w:pPr>
        <w:pStyle w:val="FootnoteText"/>
        <w:ind w:firstLine="720"/>
        <w:jc w:val="both"/>
        <w:rPr>
          <w:sz w:val="24"/>
          <w:szCs w:val="24"/>
          <w:lang w:val="en-US"/>
        </w:rPr>
      </w:pPr>
      <w:r w:rsidRPr="00B32568">
        <w:rPr>
          <w:sz w:val="24"/>
          <w:szCs w:val="24"/>
          <w:lang w:val="en-US"/>
        </w:rPr>
        <w:t xml:space="preserve">Steyn, Johan, „Does legal formalism hold </w:t>
      </w:r>
      <w:proofErr w:type="spellStart"/>
      <w:r w:rsidRPr="00B32568">
        <w:rPr>
          <w:sz w:val="24"/>
          <w:szCs w:val="24"/>
          <w:lang w:val="en-US"/>
        </w:rPr>
        <w:t>swayn</w:t>
      </w:r>
      <w:proofErr w:type="spellEnd"/>
      <w:r w:rsidRPr="00B32568">
        <w:rPr>
          <w:sz w:val="24"/>
          <w:szCs w:val="24"/>
          <w:lang w:val="en-US"/>
        </w:rPr>
        <w:t xml:space="preserve"> in England</w:t>
      </w:r>
      <w:proofErr w:type="gramStart"/>
      <w:r w:rsidRPr="00B32568">
        <w:rPr>
          <w:sz w:val="24"/>
          <w:szCs w:val="24"/>
          <w:lang w:val="en-US"/>
        </w:rPr>
        <w:t>?“</w:t>
      </w:r>
      <w:proofErr w:type="gramEnd"/>
      <w:r w:rsidRPr="00B32568">
        <w:rPr>
          <w:sz w:val="24"/>
          <w:szCs w:val="24"/>
          <w:lang w:val="en-US"/>
        </w:rPr>
        <w:t xml:space="preserve">, </w:t>
      </w:r>
      <w:r w:rsidRPr="00B32568">
        <w:rPr>
          <w:i/>
          <w:sz w:val="24"/>
          <w:szCs w:val="24"/>
          <w:lang w:val="en-US"/>
        </w:rPr>
        <w:t>Current Legal Problems</w:t>
      </w:r>
      <w:r w:rsidRPr="00B32568">
        <w:rPr>
          <w:sz w:val="24"/>
          <w:szCs w:val="24"/>
          <w:lang w:val="en-US"/>
        </w:rPr>
        <w:t>, Volume 49, Issue 1, Oxford Academic, (1996).</w:t>
      </w:r>
    </w:p>
    <w:p w:rsidR="00CD1C44" w:rsidRPr="00B32568" w:rsidRDefault="00CD1C44" w:rsidP="00EE4634">
      <w:pPr>
        <w:pStyle w:val="FootnoteText"/>
        <w:ind w:firstLine="720"/>
        <w:jc w:val="both"/>
        <w:rPr>
          <w:sz w:val="24"/>
          <w:szCs w:val="24"/>
          <w:lang w:val="en-US"/>
        </w:rPr>
      </w:pPr>
      <w:proofErr w:type="spellStart"/>
      <w:r w:rsidRPr="00B32568">
        <w:rPr>
          <w:sz w:val="24"/>
          <w:szCs w:val="24"/>
          <w:lang w:val="en-US"/>
        </w:rPr>
        <w:t>Subrint</w:t>
      </w:r>
      <w:proofErr w:type="spellEnd"/>
      <w:r w:rsidRPr="00B32568">
        <w:rPr>
          <w:sz w:val="24"/>
          <w:szCs w:val="24"/>
          <w:lang w:val="en-US"/>
        </w:rPr>
        <w:t xml:space="preserve">, Stephen N. „How equity conquered common law: the Federal rules of civil procedure in historical perspective“, </w:t>
      </w:r>
      <w:hyperlink r:id="rId9" w:anchor="#" w:history="1">
        <w:r w:rsidRPr="00B32568">
          <w:rPr>
            <w:rStyle w:val="Hyperlink"/>
            <w:i/>
            <w:iCs/>
            <w:color w:val="auto"/>
            <w:sz w:val="24"/>
            <w:szCs w:val="24"/>
            <w:u w:val="none"/>
            <w:lang w:val="en-US"/>
          </w:rPr>
          <w:t>University of Pennsylvania Law Review</w:t>
        </w:r>
        <w:r w:rsidRPr="00B32568">
          <w:rPr>
            <w:rStyle w:val="Hyperlink"/>
            <w:iCs/>
            <w:color w:val="auto"/>
            <w:sz w:val="24"/>
            <w:szCs w:val="24"/>
            <w:u w:val="none"/>
            <w:lang w:val="en-US"/>
          </w:rPr>
          <w:t>, Vol. 135, No. 4 (1987).</w:t>
        </w:r>
      </w:hyperlink>
      <w:r w:rsidRPr="00B32568">
        <w:rPr>
          <w:sz w:val="24"/>
          <w:szCs w:val="24"/>
          <w:lang w:val="en-US"/>
        </w:rPr>
        <w:t xml:space="preserve"> </w:t>
      </w:r>
    </w:p>
    <w:p w:rsidR="00CD1C44" w:rsidRPr="00B32568" w:rsidRDefault="00CD1C44" w:rsidP="00EE4634">
      <w:pPr>
        <w:pStyle w:val="FootnoteText"/>
        <w:ind w:firstLine="720"/>
        <w:jc w:val="both"/>
        <w:rPr>
          <w:sz w:val="24"/>
          <w:szCs w:val="24"/>
          <w:lang w:val="en-US"/>
        </w:rPr>
      </w:pPr>
      <w:proofErr w:type="spellStart"/>
      <w:r w:rsidRPr="00B32568">
        <w:rPr>
          <w:sz w:val="24"/>
          <w:szCs w:val="24"/>
          <w:lang w:val="en-US"/>
        </w:rPr>
        <w:t>Wroblewski</w:t>
      </w:r>
      <w:proofErr w:type="spellEnd"/>
      <w:r w:rsidRPr="00B32568">
        <w:rPr>
          <w:rFonts w:cs="Times New Roman"/>
          <w:color w:val="333333"/>
          <w:sz w:val="24"/>
          <w:szCs w:val="24"/>
          <w:shd w:val="clear" w:color="auto" w:fill="FFFFFF"/>
          <w:lang w:val="en-US"/>
        </w:rPr>
        <w:t xml:space="preserve"> Jerzy</w:t>
      </w:r>
      <w:r w:rsidRPr="00B32568">
        <w:rPr>
          <w:sz w:val="24"/>
          <w:szCs w:val="24"/>
          <w:lang w:val="en-US"/>
        </w:rPr>
        <w:t>, „Facts in Law“,</w:t>
      </w:r>
      <w:r w:rsidRPr="00B32568">
        <w:rPr>
          <w:i/>
          <w:sz w:val="24"/>
          <w:szCs w:val="24"/>
          <w:lang w:val="en-US"/>
        </w:rPr>
        <w:t xml:space="preserve"> Archives for Philosophy of Law and Social Philosophy</w:t>
      </w:r>
      <w:r w:rsidRPr="00B32568">
        <w:rPr>
          <w:sz w:val="24"/>
          <w:szCs w:val="24"/>
          <w:lang w:val="en-US"/>
        </w:rPr>
        <w:t xml:space="preserve"> Vol. 59, No. 2, Franz Steiner </w:t>
      </w:r>
      <w:proofErr w:type="spellStart"/>
      <w:r w:rsidRPr="00B32568">
        <w:rPr>
          <w:sz w:val="24"/>
          <w:szCs w:val="24"/>
          <w:lang w:val="en-US"/>
        </w:rPr>
        <w:t>Verlag</w:t>
      </w:r>
      <w:proofErr w:type="spellEnd"/>
      <w:r w:rsidRPr="00B32568">
        <w:rPr>
          <w:sz w:val="24"/>
          <w:szCs w:val="24"/>
          <w:lang w:val="en-US"/>
        </w:rPr>
        <w:t>, (1973).</w:t>
      </w:r>
    </w:p>
    <w:p w:rsidR="0078789C" w:rsidRDefault="00C31B93" w:rsidP="00EE4634">
      <w:pPr>
        <w:pStyle w:val="FootnoteText"/>
        <w:ind w:firstLine="720"/>
        <w:jc w:val="both"/>
        <w:rPr>
          <w:sz w:val="24"/>
          <w:szCs w:val="24"/>
          <w:lang w:val="en-US"/>
        </w:rPr>
      </w:pPr>
      <w:r w:rsidRPr="00B32568">
        <w:rPr>
          <w:sz w:val="24"/>
          <w:szCs w:val="24"/>
          <w:lang w:val="en-US"/>
        </w:rPr>
        <w:t>Cooper, Simon, „Human Rights and Legal Burdens of Proof“,</w:t>
      </w:r>
      <w:r w:rsidRPr="00B32568">
        <w:rPr>
          <w:i/>
          <w:sz w:val="24"/>
          <w:szCs w:val="24"/>
          <w:lang w:val="en-US"/>
        </w:rPr>
        <w:t xml:space="preserve"> Web Journal of Current Legal Issues </w:t>
      </w:r>
      <w:r w:rsidR="00C37456">
        <w:rPr>
          <w:sz w:val="24"/>
          <w:szCs w:val="24"/>
          <w:lang w:val="en-US"/>
        </w:rPr>
        <w:t>3 (2003)</w:t>
      </w:r>
      <w:r w:rsidR="0078789C">
        <w:rPr>
          <w:sz w:val="24"/>
          <w:szCs w:val="24"/>
          <w:lang w:val="en-US"/>
        </w:rPr>
        <w:t xml:space="preserve">   </w:t>
      </w:r>
    </w:p>
    <w:p w:rsidR="0078789C" w:rsidRPr="00B32568" w:rsidRDefault="0078789C" w:rsidP="00EE4634">
      <w:pPr>
        <w:keepNext/>
        <w:keepLines/>
        <w:spacing w:after="0" w:line="240" w:lineRule="auto"/>
        <w:jc w:val="center"/>
        <w:outlineLvl w:val="0"/>
        <w:rPr>
          <w:rFonts w:ascii="Times New Roman" w:eastAsiaTheme="majorEastAsia" w:hAnsi="Times New Roman" w:cstheme="majorBidi"/>
          <w:b/>
          <w:sz w:val="28"/>
          <w:szCs w:val="28"/>
        </w:rPr>
      </w:pPr>
      <w:r w:rsidRPr="00B32568">
        <w:rPr>
          <w:rFonts w:ascii="Times New Roman" w:eastAsiaTheme="majorEastAsia" w:hAnsi="Times New Roman" w:cstheme="majorBidi"/>
          <w:b/>
          <w:sz w:val="28"/>
          <w:szCs w:val="28"/>
        </w:rPr>
        <w:lastRenderedPageBreak/>
        <w:t>ОСНОВНЕ КАРАКТЕРИСТИКЕ КРИВИЧНОГ ПОСТУПКА У ЕНГЛЕСКОЈ</w:t>
      </w:r>
    </w:p>
    <w:p w:rsidR="0078789C" w:rsidRPr="00B32568" w:rsidRDefault="0078789C" w:rsidP="00EE4634">
      <w:pPr>
        <w:keepNext/>
        <w:keepLines/>
        <w:spacing w:after="0" w:line="240" w:lineRule="auto"/>
        <w:outlineLvl w:val="0"/>
        <w:rPr>
          <w:rFonts w:ascii="Times New Roman" w:eastAsiaTheme="majorEastAsia" w:hAnsi="Times New Roman" w:cstheme="majorBidi"/>
          <w:sz w:val="24"/>
          <w:szCs w:val="24"/>
        </w:rPr>
      </w:pPr>
    </w:p>
    <w:p w:rsidR="0078789C" w:rsidRPr="00B32568" w:rsidRDefault="0078789C" w:rsidP="00EE4634">
      <w:pPr>
        <w:keepNext/>
        <w:keepLines/>
        <w:spacing w:after="0" w:line="240" w:lineRule="auto"/>
        <w:jc w:val="center"/>
        <w:outlineLvl w:val="0"/>
        <w:rPr>
          <w:rFonts w:ascii="Times New Roman" w:eastAsiaTheme="majorEastAsia" w:hAnsi="Times New Roman" w:cstheme="majorBidi"/>
          <w:sz w:val="24"/>
          <w:szCs w:val="24"/>
        </w:rPr>
      </w:pPr>
      <w:proofErr w:type="spellStart"/>
      <w:r w:rsidRPr="00B32568">
        <w:rPr>
          <w:rFonts w:ascii="Times New Roman" w:eastAsiaTheme="majorEastAsia" w:hAnsi="Times New Roman" w:cstheme="majorBidi"/>
          <w:sz w:val="24"/>
          <w:szCs w:val="24"/>
        </w:rPr>
        <w:t>Миодраг</w:t>
      </w:r>
      <w:proofErr w:type="spellEnd"/>
      <w:r w:rsidRPr="00B32568">
        <w:rPr>
          <w:rFonts w:ascii="Times New Roman" w:eastAsiaTheme="majorEastAsia" w:hAnsi="Times New Roman" w:cstheme="majorBidi"/>
          <w:sz w:val="24"/>
          <w:szCs w:val="24"/>
        </w:rPr>
        <w:t xml:space="preserve"> Н. </w:t>
      </w:r>
      <w:proofErr w:type="spellStart"/>
      <w:r w:rsidRPr="00B32568">
        <w:rPr>
          <w:rFonts w:ascii="Times New Roman" w:eastAsiaTheme="majorEastAsia" w:hAnsi="Times New Roman" w:cstheme="majorBidi"/>
          <w:sz w:val="24"/>
          <w:szCs w:val="24"/>
        </w:rPr>
        <w:t>Симовић</w:t>
      </w:r>
      <w:proofErr w:type="spellEnd"/>
      <w:r w:rsidRPr="00B32568">
        <w:rPr>
          <w:rStyle w:val="FootnoteReference"/>
          <w:rFonts w:ascii="Times New Roman" w:eastAsiaTheme="majorEastAsia" w:hAnsi="Times New Roman" w:cstheme="majorBidi"/>
          <w:sz w:val="24"/>
          <w:szCs w:val="24"/>
        </w:rPr>
        <w:footnoteReference w:id="38"/>
      </w:r>
    </w:p>
    <w:p w:rsidR="0078789C" w:rsidRPr="00B32568" w:rsidRDefault="0078789C" w:rsidP="00EE4634">
      <w:pPr>
        <w:keepNext/>
        <w:keepLines/>
        <w:spacing w:after="0" w:line="240" w:lineRule="auto"/>
        <w:jc w:val="both"/>
        <w:outlineLvl w:val="0"/>
        <w:rPr>
          <w:rFonts w:ascii="Times New Roman" w:eastAsiaTheme="majorEastAsia" w:hAnsi="Times New Roman" w:cstheme="majorBidi"/>
          <w:i/>
          <w:sz w:val="24"/>
          <w:szCs w:val="24"/>
        </w:rPr>
      </w:pPr>
      <w:proofErr w:type="spellStart"/>
      <w:r w:rsidRPr="00B32568">
        <w:rPr>
          <w:rFonts w:ascii="Times New Roman" w:eastAsiaTheme="majorEastAsia" w:hAnsi="Times New Roman" w:cstheme="majorBidi"/>
          <w:i/>
          <w:sz w:val="24"/>
          <w:szCs w:val="24"/>
        </w:rPr>
        <w:t>Уставни</w:t>
      </w:r>
      <w:proofErr w:type="spellEnd"/>
      <w:r w:rsidRPr="00B32568">
        <w:rPr>
          <w:rFonts w:ascii="Times New Roman" w:eastAsiaTheme="majorEastAsia" w:hAnsi="Times New Roman" w:cstheme="majorBidi"/>
          <w:i/>
          <w:sz w:val="24"/>
          <w:szCs w:val="24"/>
        </w:rPr>
        <w:t xml:space="preserve"> </w:t>
      </w:r>
      <w:proofErr w:type="spellStart"/>
      <w:r w:rsidRPr="00B32568">
        <w:rPr>
          <w:rFonts w:ascii="Times New Roman" w:eastAsiaTheme="majorEastAsia" w:hAnsi="Times New Roman" w:cstheme="majorBidi"/>
          <w:i/>
          <w:sz w:val="24"/>
          <w:szCs w:val="24"/>
        </w:rPr>
        <w:t>суд</w:t>
      </w:r>
      <w:proofErr w:type="spellEnd"/>
      <w:r w:rsidRPr="00B32568">
        <w:rPr>
          <w:rFonts w:ascii="Times New Roman" w:eastAsiaTheme="majorEastAsia" w:hAnsi="Times New Roman" w:cstheme="majorBidi"/>
          <w:i/>
          <w:sz w:val="24"/>
          <w:szCs w:val="24"/>
        </w:rPr>
        <w:t xml:space="preserve"> </w:t>
      </w:r>
      <w:proofErr w:type="spellStart"/>
      <w:r w:rsidRPr="00B32568">
        <w:rPr>
          <w:rFonts w:ascii="Times New Roman" w:eastAsiaTheme="majorEastAsia" w:hAnsi="Times New Roman" w:cstheme="majorBidi"/>
          <w:i/>
          <w:sz w:val="24"/>
          <w:szCs w:val="24"/>
        </w:rPr>
        <w:t>Босне</w:t>
      </w:r>
      <w:proofErr w:type="spellEnd"/>
      <w:r w:rsidRPr="00B32568">
        <w:rPr>
          <w:rFonts w:ascii="Times New Roman" w:eastAsiaTheme="majorEastAsia" w:hAnsi="Times New Roman" w:cstheme="majorBidi"/>
          <w:i/>
          <w:sz w:val="24"/>
          <w:szCs w:val="24"/>
        </w:rPr>
        <w:t xml:space="preserve"> и </w:t>
      </w:r>
      <w:proofErr w:type="spellStart"/>
      <w:r w:rsidRPr="00B32568">
        <w:rPr>
          <w:rFonts w:ascii="Times New Roman" w:eastAsiaTheme="majorEastAsia" w:hAnsi="Times New Roman" w:cstheme="majorBidi"/>
          <w:i/>
          <w:sz w:val="24"/>
          <w:szCs w:val="24"/>
        </w:rPr>
        <w:t>Херцеговине</w:t>
      </w:r>
      <w:proofErr w:type="spellEnd"/>
      <w:r w:rsidRPr="00B32568">
        <w:rPr>
          <w:rFonts w:ascii="Times New Roman" w:eastAsiaTheme="majorEastAsia" w:hAnsi="Times New Roman" w:cstheme="majorBidi"/>
          <w:i/>
          <w:sz w:val="24"/>
          <w:szCs w:val="24"/>
        </w:rPr>
        <w:t xml:space="preserve"> и </w:t>
      </w:r>
      <w:proofErr w:type="spellStart"/>
      <w:r w:rsidRPr="00B32568">
        <w:rPr>
          <w:rFonts w:ascii="Times New Roman" w:eastAsiaTheme="majorEastAsia" w:hAnsi="Times New Roman" w:cstheme="majorBidi"/>
          <w:i/>
          <w:sz w:val="24"/>
          <w:szCs w:val="24"/>
        </w:rPr>
        <w:t>Правни</w:t>
      </w:r>
      <w:proofErr w:type="spellEnd"/>
      <w:r w:rsidRPr="00B32568">
        <w:rPr>
          <w:rFonts w:ascii="Times New Roman" w:eastAsiaTheme="majorEastAsia" w:hAnsi="Times New Roman" w:cstheme="majorBidi"/>
          <w:i/>
          <w:sz w:val="24"/>
          <w:szCs w:val="24"/>
        </w:rPr>
        <w:t xml:space="preserve"> </w:t>
      </w:r>
      <w:proofErr w:type="spellStart"/>
      <w:r w:rsidRPr="00B32568">
        <w:rPr>
          <w:rFonts w:ascii="Times New Roman" w:eastAsiaTheme="majorEastAsia" w:hAnsi="Times New Roman" w:cstheme="majorBidi"/>
          <w:i/>
          <w:sz w:val="24"/>
          <w:szCs w:val="24"/>
        </w:rPr>
        <w:t>факултет</w:t>
      </w:r>
      <w:proofErr w:type="spellEnd"/>
      <w:r w:rsidRPr="00B32568">
        <w:rPr>
          <w:rFonts w:ascii="Times New Roman" w:eastAsiaTheme="majorEastAsia" w:hAnsi="Times New Roman" w:cstheme="majorBidi"/>
          <w:i/>
          <w:sz w:val="24"/>
          <w:szCs w:val="24"/>
        </w:rPr>
        <w:t xml:space="preserve"> </w:t>
      </w:r>
      <w:proofErr w:type="spellStart"/>
      <w:r w:rsidRPr="00B32568">
        <w:rPr>
          <w:rFonts w:ascii="Times New Roman" w:eastAsiaTheme="majorEastAsia" w:hAnsi="Times New Roman" w:cstheme="majorBidi"/>
          <w:i/>
          <w:sz w:val="24"/>
          <w:szCs w:val="24"/>
        </w:rPr>
        <w:t>Универзитета</w:t>
      </w:r>
      <w:proofErr w:type="spellEnd"/>
      <w:r w:rsidRPr="00B32568">
        <w:rPr>
          <w:rFonts w:ascii="Times New Roman" w:eastAsiaTheme="majorEastAsia" w:hAnsi="Times New Roman" w:cstheme="majorBidi"/>
          <w:i/>
          <w:sz w:val="24"/>
          <w:szCs w:val="24"/>
        </w:rPr>
        <w:t xml:space="preserve"> у Бањој </w:t>
      </w:r>
      <w:proofErr w:type="spellStart"/>
      <w:r w:rsidRPr="00B32568">
        <w:rPr>
          <w:rFonts w:ascii="Times New Roman" w:eastAsiaTheme="majorEastAsia" w:hAnsi="Times New Roman" w:cstheme="majorBidi"/>
          <w:i/>
          <w:sz w:val="24"/>
          <w:szCs w:val="24"/>
        </w:rPr>
        <w:t>Луци</w:t>
      </w:r>
      <w:proofErr w:type="spellEnd"/>
    </w:p>
    <w:p w:rsidR="0078789C" w:rsidRPr="00B32568" w:rsidRDefault="0078789C" w:rsidP="00EE4634">
      <w:pPr>
        <w:keepNext/>
        <w:keepLines/>
        <w:spacing w:after="0" w:line="240" w:lineRule="auto"/>
        <w:jc w:val="center"/>
        <w:outlineLvl w:val="0"/>
        <w:rPr>
          <w:rFonts w:ascii="Times New Roman" w:eastAsiaTheme="majorEastAsia" w:hAnsi="Times New Roman" w:cstheme="majorBidi"/>
          <w:sz w:val="24"/>
          <w:szCs w:val="24"/>
        </w:rPr>
      </w:pPr>
    </w:p>
    <w:p w:rsidR="0078789C" w:rsidRPr="00B32568" w:rsidRDefault="0078789C" w:rsidP="00EE4634">
      <w:pPr>
        <w:keepNext/>
        <w:keepLines/>
        <w:spacing w:after="0" w:line="240" w:lineRule="auto"/>
        <w:jc w:val="center"/>
        <w:outlineLvl w:val="0"/>
        <w:rPr>
          <w:rFonts w:ascii="Times New Roman" w:eastAsiaTheme="majorEastAsia" w:hAnsi="Times New Roman" w:cstheme="majorBidi"/>
          <w:sz w:val="24"/>
          <w:szCs w:val="24"/>
        </w:rPr>
      </w:pPr>
      <w:proofErr w:type="spellStart"/>
      <w:r w:rsidRPr="00B32568">
        <w:rPr>
          <w:rFonts w:ascii="Times New Roman" w:eastAsiaTheme="majorEastAsia" w:hAnsi="Times New Roman" w:cstheme="majorBidi"/>
          <w:sz w:val="24"/>
          <w:szCs w:val="24"/>
        </w:rPr>
        <w:t>Амна</w:t>
      </w:r>
      <w:proofErr w:type="spellEnd"/>
      <w:r w:rsidRPr="00B32568">
        <w:rPr>
          <w:rFonts w:ascii="Times New Roman" w:eastAsiaTheme="majorEastAsia" w:hAnsi="Times New Roman" w:cstheme="majorBidi"/>
          <w:sz w:val="24"/>
          <w:szCs w:val="24"/>
        </w:rPr>
        <w:t xml:space="preserve"> </w:t>
      </w:r>
      <w:proofErr w:type="spellStart"/>
      <w:r w:rsidRPr="00B32568">
        <w:rPr>
          <w:rFonts w:ascii="Times New Roman" w:eastAsiaTheme="majorEastAsia" w:hAnsi="Times New Roman" w:cstheme="majorBidi"/>
          <w:sz w:val="24"/>
          <w:szCs w:val="24"/>
        </w:rPr>
        <w:t>Хрустић</w:t>
      </w:r>
      <w:proofErr w:type="spellEnd"/>
      <w:r w:rsidRPr="00B32568">
        <w:rPr>
          <w:rStyle w:val="FootnoteReference"/>
          <w:rFonts w:ascii="Times New Roman" w:eastAsiaTheme="majorEastAsia" w:hAnsi="Times New Roman" w:cstheme="majorBidi"/>
          <w:sz w:val="24"/>
          <w:szCs w:val="24"/>
        </w:rPr>
        <w:footnoteReference w:id="39"/>
      </w:r>
    </w:p>
    <w:p w:rsidR="0078789C" w:rsidRPr="00B32568" w:rsidRDefault="0078789C" w:rsidP="00EE4634">
      <w:pPr>
        <w:keepNext/>
        <w:keepLines/>
        <w:spacing w:after="0" w:line="240" w:lineRule="auto"/>
        <w:jc w:val="center"/>
        <w:outlineLvl w:val="0"/>
        <w:rPr>
          <w:rFonts w:ascii="Times New Roman" w:eastAsiaTheme="majorEastAsia" w:hAnsi="Times New Roman" w:cstheme="majorBidi"/>
          <w:b/>
          <w:i/>
          <w:sz w:val="28"/>
          <w:szCs w:val="32"/>
        </w:rPr>
      </w:pPr>
      <w:proofErr w:type="spellStart"/>
      <w:r w:rsidRPr="00B32568">
        <w:rPr>
          <w:rFonts w:ascii="Times New Roman" w:eastAsiaTheme="majorEastAsia" w:hAnsi="Times New Roman" w:cstheme="majorBidi"/>
          <w:i/>
          <w:sz w:val="24"/>
          <w:szCs w:val="24"/>
        </w:rPr>
        <w:t>Правни</w:t>
      </w:r>
      <w:proofErr w:type="spellEnd"/>
      <w:r w:rsidRPr="00B32568">
        <w:rPr>
          <w:rFonts w:ascii="Times New Roman" w:eastAsiaTheme="majorEastAsia" w:hAnsi="Times New Roman" w:cstheme="majorBidi"/>
          <w:i/>
          <w:sz w:val="24"/>
          <w:szCs w:val="24"/>
        </w:rPr>
        <w:t xml:space="preserve"> </w:t>
      </w:r>
      <w:proofErr w:type="spellStart"/>
      <w:r w:rsidRPr="00B32568">
        <w:rPr>
          <w:rFonts w:ascii="Times New Roman" w:eastAsiaTheme="majorEastAsia" w:hAnsi="Times New Roman" w:cstheme="majorBidi"/>
          <w:i/>
          <w:sz w:val="24"/>
          <w:szCs w:val="24"/>
        </w:rPr>
        <w:t>факултет</w:t>
      </w:r>
      <w:proofErr w:type="spellEnd"/>
      <w:r w:rsidRPr="00B32568">
        <w:rPr>
          <w:rFonts w:ascii="Times New Roman" w:eastAsiaTheme="majorEastAsia" w:hAnsi="Times New Roman" w:cstheme="majorBidi"/>
          <w:i/>
          <w:sz w:val="24"/>
          <w:szCs w:val="24"/>
        </w:rPr>
        <w:t xml:space="preserve"> </w:t>
      </w:r>
      <w:proofErr w:type="spellStart"/>
      <w:r w:rsidRPr="00B32568">
        <w:rPr>
          <w:rFonts w:ascii="Times New Roman" w:eastAsiaTheme="majorEastAsia" w:hAnsi="Times New Roman" w:cstheme="majorBidi"/>
          <w:i/>
          <w:sz w:val="24"/>
          <w:szCs w:val="24"/>
        </w:rPr>
        <w:t>Универзитета</w:t>
      </w:r>
      <w:proofErr w:type="spellEnd"/>
      <w:r w:rsidRPr="00B32568">
        <w:rPr>
          <w:rFonts w:ascii="Times New Roman" w:eastAsiaTheme="majorEastAsia" w:hAnsi="Times New Roman" w:cstheme="majorBidi"/>
          <w:i/>
          <w:sz w:val="24"/>
          <w:szCs w:val="24"/>
        </w:rPr>
        <w:t xml:space="preserve"> у </w:t>
      </w:r>
      <w:proofErr w:type="spellStart"/>
      <w:r w:rsidRPr="00B32568">
        <w:rPr>
          <w:rFonts w:ascii="Times New Roman" w:eastAsiaTheme="majorEastAsia" w:hAnsi="Times New Roman" w:cstheme="majorBidi"/>
          <w:i/>
          <w:sz w:val="24"/>
          <w:szCs w:val="24"/>
        </w:rPr>
        <w:t>Зеници</w:t>
      </w:r>
      <w:proofErr w:type="spellEnd"/>
    </w:p>
    <w:p w:rsidR="0078789C" w:rsidRPr="00B32568" w:rsidRDefault="0078789C" w:rsidP="00EE4634">
      <w:pPr>
        <w:keepNext/>
        <w:keepLines/>
        <w:spacing w:before="40" w:after="0" w:line="240" w:lineRule="auto"/>
        <w:jc w:val="both"/>
        <w:outlineLvl w:val="2"/>
        <w:rPr>
          <w:rFonts w:ascii="Consolas" w:hAnsi="Consolas"/>
          <w:color w:val="989EAE"/>
          <w:sz w:val="24"/>
          <w:szCs w:val="24"/>
        </w:rPr>
      </w:pPr>
    </w:p>
    <w:p w:rsidR="0078789C" w:rsidRPr="00B32568" w:rsidRDefault="0078789C" w:rsidP="00EE4634">
      <w:pPr>
        <w:keepNext/>
        <w:keepLines/>
        <w:spacing w:before="40" w:after="0" w:line="240" w:lineRule="auto"/>
        <w:jc w:val="both"/>
        <w:outlineLvl w:val="2"/>
        <w:rPr>
          <w:rFonts w:ascii="Times New Roman" w:hAnsi="Times New Roman" w:cs="Times New Roman"/>
          <w:i/>
          <w:sz w:val="24"/>
          <w:szCs w:val="24"/>
        </w:rPr>
      </w:pPr>
      <w:proofErr w:type="spellStart"/>
      <w:r w:rsidRPr="00B32568">
        <w:rPr>
          <w:rFonts w:ascii="Times New Roman" w:eastAsiaTheme="majorEastAsia" w:hAnsi="Times New Roman" w:cstheme="majorBidi"/>
          <w:b/>
          <w:i/>
          <w:sz w:val="24"/>
          <w:szCs w:val="24"/>
        </w:rPr>
        <w:t>Апстракт</w:t>
      </w:r>
      <w:proofErr w:type="spellEnd"/>
      <w:r w:rsidRPr="00B32568">
        <w:rPr>
          <w:rFonts w:ascii="Times New Roman" w:eastAsiaTheme="majorEastAsia" w:hAnsi="Times New Roman" w:cstheme="majorBidi"/>
          <w:b/>
          <w:i/>
          <w:sz w:val="24"/>
          <w:szCs w:val="24"/>
        </w:rPr>
        <w:t xml:space="preserve">: </w:t>
      </w:r>
      <w:proofErr w:type="spellStart"/>
      <w:r w:rsidRPr="00B32568">
        <w:rPr>
          <w:rFonts w:ascii="Times New Roman" w:hAnsi="Times New Roman" w:cs="Times New Roman"/>
          <w:i/>
          <w:color w:val="272727"/>
          <w:sz w:val="24"/>
          <w:szCs w:val="24"/>
          <w:shd w:val="clear" w:color="auto" w:fill="FFFFFF"/>
        </w:rPr>
        <w:t>Тематску</w:t>
      </w:r>
      <w:proofErr w:type="spell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color w:val="272727"/>
          <w:sz w:val="24"/>
          <w:szCs w:val="24"/>
          <w:shd w:val="clear" w:color="auto" w:fill="FFFFFF"/>
        </w:rPr>
        <w:t>концепцију</w:t>
      </w:r>
      <w:proofErr w:type="spell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color w:val="272727"/>
          <w:sz w:val="24"/>
          <w:szCs w:val="24"/>
          <w:shd w:val="clear" w:color="auto" w:fill="FFFFFF"/>
        </w:rPr>
        <w:t>рада</w:t>
      </w:r>
      <w:proofErr w:type="spell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color w:val="272727"/>
          <w:sz w:val="24"/>
          <w:szCs w:val="24"/>
          <w:shd w:val="clear" w:color="auto" w:fill="FFFFFF"/>
        </w:rPr>
        <w:t>чине</w:t>
      </w:r>
      <w:proofErr w:type="spell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color w:val="272727"/>
          <w:sz w:val="24"/>
          <w:szCs w:val="24"/>
          <w:shd w:val="clear" w:color="auto" w:fill="FFFFFF"/>
        </w:rPr>
        <w:t>правна</w:t>
      </w:r>
      <w:proofErr w:type="spellEnd"/>
      <w:r w:rsidRPr="00B32568">
        <w:rPr>
          <w:rFonts w:ascii="Times New Roman" w:hAnsi="Times New Roman" w:cs="Times New Roman"/>
          <w:i/>
          <w:color w:val="272727"/>
          <w:sz w:val="24"/>
          <w:szCs w:val="24"/>
          <w:shd w:val="clear" w:color="auto" w:fill="FFFFFF"/>
        </w:rPr>
        <w:t xml:space="preserve"> </w:t>
      </w:r>
      <w:proofErr w:type="spellStart"/>
      <w:proofErr w:type="gramStart"/>
      <w:r w:rsidRPr="00B32568">
        <w:rPr>
          <w:rFonts w:ascii="Times New Roman" w:hAnsi="Times New Roman" w:cs="Times New Roman"/>
          <w:i/>
          <w:color w:val="272727"/>
          <w:sz w:val="24"/>
          <w:szCs w:val="24"/>
          <w:shd w:val="clear" w:color="auto" w:fill="FFFFFF"/>
        </w:rPr>
        <w:t>питања</w:t>
      </w:r>
      <w:proofErr w:type="spell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color w:val="272727"/>
          <w:sz w:val="24"/>
          <w:szCs w:val="24"/>
          <w:shd w:val="clear" w:color="auto" w:fill="FFFFFF"/>
        </w:rPr>
        <w:t>везана</w:t>
      </w:r>
      <w:proofErr w:type="spellEnd"/>
      <w:proofErr w:type="gram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color w:val="272727"/>
          <w:sz w:val="24"/>
          <w:szCs w:val="24"/>
          <w:shd w:val="clear" w:color="auto" w:fill="FFFFFF"/>
        </w:rPr>
        <w:t>за</w:t>
      </w:r>
      <w:proofErr w:type="spell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color w:val="272727"/>
          <w:sz w:val="24"/>
          <w:szCs w:val="24"/>
          <w:shd w:val="clear" w:color="auto" w:fill="FFFFFF"/>
        </w:rPr>
        <w:t>кривични</w:t>
      </w:r>
      <w:proofErr w:type="spell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color w:val="272727"/>
          <w:sz w:val="24"/>
          <w:szCs w:val="24"/>
          <w:shd w:val="clear" w:color="auto" w:fill="FFFFFF"/>
        </w:rPr>
        <w:t>поступак</w:t>
      </w:r>
      <w:proofErr w:type="spellEnd"/>
      <w:r w:rsidRPr="00B32568">
        <w:rPr>
          <w:rFonts w:ascii="Times New Roman" w:hAnsi="Times New Roman" w:cs="Times New Roman"/>
          <w:i/>
          <w:color w:val="272727"/>
          <w:sz w:val="24"/>
          <w:szCs w:val="24"/>
          <w:shd w:val="clear" w:color="auto" w:fill="FFFFFF"/>
        </w:rPr>
        <w:t xml:space="preserve"> у </w:t>
      </w:r>
      <w:proofErr w:type="spellStart"/>
      <w:r w:rsidRPr="00B32568">
        <w:rPr>
          <w:rFonts w:ascii="Times New Roman" w:hAnsi="Times New Roman" w:cs="Times New Roman"/>
          <w:i/>
          <w:color w:val="272727"/>
          <w:sz w:val="24"/>
          <w:szCs w:val="24"/>
          <w:shd w:val="clear" w:color="auto" w:fill="FFFFFF"/>
        </w:rPr>
        <w:t>Енглеској</w:t>
      </w:r>
      <w:proofErr w:type="spell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color w:val="272727"/>
          <w:sz w:val="24"/>
          <w:szCs w:val="24"/>
          <w:shd w:val="clear" w:color="auto" w:fill="FFFFFF"/>
        </w:rPr>
        <w:t>који</w:t>
      </w:r>
      <w:proofErr w:type="spell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color w:val="272727"/>
          <w:sz w:val="24"/>
          <w:szCs w:val="24"/>
          <w:shd w:val="clear" w:color="auto" w:fill="FFFFFF"/>
        </w:rPr>
        <w:t>представља</w:t>
      </w:r>
      <w:proofErr w:type="spell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sz w:val="24"/>
          <w:szCs w:val="24"/>
        </w:rPr>
        <w:t>тзв</w:t>
      </w:r>
      <w:proofErr w:type="spellEnd"/>
      <w:r w:rsidRPr="00B32568">
        <w:rPr>
          <w:rFonts w:ascii="Times New Roman" w:hAnsi="Times New Roman" w:cs="Times New Roman"/>
          <w:i/>
          <w:sz w:val="24"/>
          <w:szCs w:val="24"/>
        </w:rPr>
        <w:t xml:space="preserve">. </w:t>
      </w:r>
      <w:proofErr w:type="spellStart"/>
      <w:proofErr w:type="gramStart"/>
      <w:r w:rsidRPr="00B32568">
        <w:rPr>
          <w:rFonts w:ascii="Times New Roman" w:hAnsi="Times New Roman" w:cs="Times New Roman"/>
          <w:i/>
          <w:sz w:val="24"/>
          <w:szCs w:val="24"/>
        </w:rPr>
        <w:t>чисти</w:t>
      </w:r>
      <w:proofErr w:type="spellEnd"/>
      <w:proofErr w:type="gram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акузаторски</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поступак</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Тај</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поступак</w:t>
      </w:r>
      <w:proofErr w:type="spellEnd"/>
      <w:r w:rsidRPr="00B32568">
        <w:rPr>
          <w:rFonts w:ascii="Times New Roman" w:hAnsi="Times New Roman" w:cs="Times New Roman"/>
          <w:i/>
          <w:sz w:val="24"/>
          <w:szCs w:val="24"/>
        </w:rPr>
        <w:t xml:space="preserve"> </w:t>
      </w:r>
      <w:proofErr w:type="spellStart"/>
      <w:proofErr w:type="gramStart"/>
      <w:r w:rsidRPr="00B32568">
        <w:rPr>
          <w:rFonts w:ascii="Times New Roman" w:hAnsi="Times New Roman" w:cs="Times New Roman"/>
          <w:i/>
          <w:sz w:val="24"/>
          <w:szCs w:val="24"/>
        </w:rPr>
        <w:t>се</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разликују</w:t>
      </w:r>
      <w:proofErr w:type="spellEnd"/>
      <w:proofErr w:type="gram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од</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права</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земаља</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континенталне</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Европе</w:t>
      </w:r>
      <w:proofErr w:type="spellEnd"/>
      <w:r w:rsidRPr="00B32568">
        <w:rPr>
          <w:rFonts w:ascii="Times New Roman" w:hAnsi="Times New Roman" w:cs="Times New Roman"/>
          <w:i/>
          <w:sz w:val="24"/>
          <w:szCs w:val="24"/>
        </w:rPr>
        <w:t xml:space="preserve"> и </w:t>
      </w:r>
      <w:proofErr w:type="spellStart"/>
      <w:r w:rsidRPr="00B32568">
        <w:rPr>
          <w:rFonts w:ascii="Times New Roman" w:hAnsi="Times New Roman" w:cs="Times New Roman"/>
          <w:i/>
          <w:sz w:val="24"/>
          <w:szCs w:val="24"/>
        </w:rPr>
        <w:t>карактерише</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га</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архаичност</w:t>
      </w:r>
      <w:proofErr w:type="spellEnd"/>
      <w:r w:rsidRPr="00B32568">
        <w:rPr>
          <w:rFonts w:ascii="Times New Roman" w:hAnsi="Times New Roman" w:cs="Times New Roman"/>
          <w:i/>
          <w:sz w:val="24"/>
          <w:szCs w:val="24"/>
        </w:rPr>
        <w:t xml:space="preserve"> и </w:t>
      </w:r>
      <w:proofErr w:type="spellStart"/>
      <w:r w:rsidRPr="00B32568">
        <w:rPr>
          <w:rFonts w:ascii="Times New Roman" w:hAnsi="Times New Roman" w:cs="Times New Roman"/>
          <w:i/>
          <w:sz w:val="24"/>
          <w:szCs w:val="24"/>
        </w:rPr>
        <w:t>континуитет</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изворно</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обичајноправни</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судски</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карактер</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те</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одсуство</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великих</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кодификација</w:t>
      </w:r>
      <w:proofErr w:type="spellEnd"/>
      <w:r w:rsidRPr="00B32568">
        <w:rPr>
          <w:rFonts w:ascii="Times New Roman" w:hAnsi="Times New Roman" w:cs="Times New Roman"/>
          <w:i/>
          <w:sz w:val="24"/>
          <w:szCs w:val="24"/>
        </w:rPr>
        <w:t>.</w:t>
      </w:r>
      <w:r w:rsidRPr="00B32568">
        <w:rPr>
          <w:rFonts w:ascii="Times New Roman" w:eastAsiaTheme="majorEastAsia" w:hAnsi="Times New Roman" w:cs="Times New Roman"/>
          <w:b/>
          <w:i/>
          <w:sz w:val="24"/>
          <w:szCs w:val="24"/>
        </w:rPr>
        <w:t xml:space="preserve"> </w:t>
      </w:r>
      <w:proofErr w:type="gramStart"/>
      <w:r w:rsidRPr="00B32568">
        <w:rPr>
          <w:rFonts w:ascii="Times New Roman" w:hAnsi="Times New Roman" w:cs="Times New Roman"/>
          <w:i/>
          <w:sz w:val="24"/>
          <w:szCs w:val="24"/>
        </w:rPr>
        <w:t xml:space="preserve">У </w:t>
      </w:r>
      <w:proofErr w:type="spellStart"/>
      <w:r w:rsidRPr="00B32568">
        <w:rPr>
          <w:rFonts w:ascii="Times New Roman" w:hAnsi="Times New Roman" w:cs="Times New Roman"/>
          <w:i/>
          <w:sz w:val="24"/>
          <w:szCs w:val="24"/>
        </w:rPr>
        <w:t>том</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контексту</w:t>
      </w:r>
      <w:proofErr w:type="spellEnd"/>
      <w:r w:rsidRPr="00B32568">
        <w:rPr>
          <w:rFonts w:ascii="Times New Roman" w:hAnsi="Times New Roman" w:cs="Times New Roman"/>
          <w:i/>
          <w:sz w:val="24"/>
          <w:szCs w:val="24"/>
        </w:rPr>
        <w:t xml:space="preserve"> у </w:t>
      </w:r>
      <w:proofErr w:type="spellStart"/>
      <w:r w:rsidRPr="00B32568">
        <w:rPr>
          <w:rFonts w:ascii="Times New Roman" w:hAnsi="Times New Roman" w:cs="Times New Roman"/>
          <w:i/>
          <w:sz w:val="24"/>
          <w:szCs w:val="24"/>
        </w:rPr>
        <w:t>раду</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се</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анализира</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значење</w:t>
      </w:r>
      <w:proofErr w:type="spellEnd"/>
      <w:r w:rsidRPr="00B32568">
        <w:rPr>
          <w:rFonts w:ascii="Times New Roman" w:hAnsi="Times New Roman" w:cs="Times New Roman"/>
          <w:i/>
          <w:sz w:val="24"/>
          <w:szCs w:val="24"/>
        </w:rPr>
        <w:t xml:space="preserve"> </w:t>
      </w:r>
      <w:r w:rsidRPr="00B32568">
        <w:rPr>
          <w:rFonts w:ascii="Times New Roman" w:eastAsiaTheme="majorEastAsia" w:hAnsi="Times New Roman" w:cs="Times New Roman"/>
          <w:i/>
          <w:iCs/>
          <w:sz w:val="24"/>
          <w:szCs w:val="24"/>
        </w:rPr>
        <w:t xml:space="preserve">common law и equity law, </w:t>
      </w:r>
      <w:proofErr w:type="spellStart"/>
      <w:r w:rsidRPr="00B32568">
        <w:rPr>
          <w:rFonts w:ascii="Times New Roman" w:eastAsiaTheme="majorEastAsia" w:hAnsi="Times New Roman" w:cs="Times New Roman"/>
          <w:i/>
          <w:iCs/>
          <w:sz w:val="24"/>
          <w:szCs w:val="24"/>
        </w:rPr>
        <w:t>те</w:t>
      </w:r>
      <w:proofErr w:type="spellEnd"/>
      <w:r w:rsidRPr="00B32568">
        <w:rPr>
          <w:rFonts w:ascii="Times New Roman" w:eastAsiaTheme="majorEastAsia" w:hAnsi="Times New Roman" w:cs="Times New Roman"/>
          <w:i/>
          <w:iCs/>
          <w:sz w:val="24"/>
          <w:szCs w:val="24"/>
        </w:rPr>
        <w:t xml:space="preserve"> </w:t>
      </w:r>
      <w:proofErr w:type="spellStart"/>
      <w:r w:rsidRPr="00B32568">
        <w:rPr>
          <w:rFonts w:ascii="Times New Roman" w:eastAsiaTheme="majorEastAsia" w:hAnsi="Times New Roman" w:cs="Times New Roman"/>
          <w:i/>
          <w:iCs/>
          <w:sz w:val="24"/>
          <w:szCs w:val="24"/>
        </w:rPr>
        <w:t>процесни</w:t>
      </w:r>
      <w:proofErr w:type="spellEnd"/>
      <w:r w:rsidRPr="00B32568">
        <w:rPr>
          <w:rFonts w:ascii="Times New Roman" w:eastAsiaTheme="majorEastAsia" w:hAnsi="Times New Roman" w:cs="Times New Roman"/>
          <w:i/>
          <w:iCs/>
          <w:sz w:val="24"/>
          <w:szCs w:val="24"/>
        </w:rPr>
        <w:t xml:space="preserve"> </w:t>
      </w:r>
      <w:proofErr w:type="spellStart"/>
      <w:r w:rsidRPr="00B32568">
        <w:rPr>
          <w:rFonts w:ascii="Times New Roman" w:eastAsiaTheme="majorEastAsia" w:hAnsi="Times New Roman" w:cs="Times New Roman"/>
          <w:i/>
          <w:iCs/>
          <w:sz w:val="24"/>
          <w:szCs w:val="24"/>
        </w:rPr>
        <w:t>критерији</w:t>
      </w:r>
      <w:proofErr w:type="spellEnd"/>
      <w:r w:rsidRPr="00B32568">
        <w:rPr>
          <w:rFonts w:ascii="Times New Roman" w:eastAsiaTheme="majorEastAsia" w:hAnsi="Times New Roman" w:cs="Times New Roman"/>
          <w:i/>
          <w:iCs/>
          <w:sz w:val="24"/>
          <w:szCs w:val="24"/>
        </w:rPr>
        <w:t xml:space="preserve"> </w:t>
      </w:r>
      <w:proofErr w:type="spellStart"/>
      <w:r w:rsidRPr="00B32568">
        <w:rPr>
          <w:rFonts w:ascii="Times New Roman" w:eastAsiaTheme="majorEastAsia" w:hAnsi="Times New Roman" w:cs="Times New Roman"/>
          <w:i/>
          <w:iCs/>
          <w:sz w:val="24"/>
          <w:szCs w:val="24"/>
        </w:rPr>
        <w:t>за</w:t>
      </w:r>
      <w:proofErr w:type="spellEnd"/>
      <w:r w:rsidRPr="00B32568">
        <w:rPr>
          <w:rFonts w:ascii="Times New Roman" w:eastAsiaTheme="majorEastAsia" w:hAnsi="Times New Roman" w:cs="Times New Roman"/>
          <w:i/>
          <w:iCs/>
          <w:sz w:val="24"/>
          <w:szCs w:val="24"/>
        </w:rPr>
        <w:t xml:space="preserve"> </w:t>
      </w:r>
      <w:proofErr w:type="spellStart"/>
      <w:r w:rsidRPr="00B32568">
        <w:rPr>
          <w:rFonts w:ascii="Times New Roman" w:eastAsiaTheme="majorEastAsia" w:hAnsi="Times New Roman" w:cs="Times New Roman"/>
          <w:i/>
          <w:iCs/>
          <w:sz w:val="24"/>
          <w:szCs w:val="24"/>
        </w:rPr>
        <w:t>категоризацију</w:t>
      </w:r>
      <w:proofErr w:type="spellEnd"/>
      <w:r w:rsidRPr="00B32568">
        <w:rPr>
          <w:rFonts w:ascii="Times New Roman" w:eastAsiaTheme="majorEastAsia" w:hAnsi="Times New Roman" w:cs="Times New Roman"/>
          <w:i/>
          <w:iCs/>
          <w:sz w:val="24"/>
          <w:szCs w:val="24"/>
        </w:rPr>
        <w:t xml:space="preserve"> </w:t>
      </w:r>
      <w:proofErr w:type="spellStart"/>
      <w:r w:rsidRPr="00B32568">
        <w:rPr>
          <w:rFonts w:ascii="Times New Roman" w:eastAsiaTheme="majorEastAsia" w:hAnsi="Times New Roman" w:cs="Times New Roman"/>
          <w:i/>
          <w:iCs/>
          <w:sz w:val="24"/>
          <w:szCs w:val="24"/>
        </w:rPr>
        <w:t>кривичних</w:t>
      </w:r>
      <w:proofErr w:type="spellEnd"/>
      <w:r w:rsidRPr="00B32568">
        <w:rPr>
          <w:rFonts w:ascii="Times New Roman" w:eastAsiaTheme="majorEastAsia" w:hAnsi="Times New Roman" w:cs="Times New Roman"/>
          <w:i/>
          <w:iCs/>
          <w:sz w:val="24"/>
          <w:szCs w:val="24"/>
        </w:rPr>
        <w:t xml:space="preserve"> </w:t>
      </w:r>
      <w:proofErr w:type="spellStart"/>
      <w:r w:rsidRPr="00B32568">
        <w:rPr>
          <w:rFonts w:ascii="Times New Roman" w:eastAsiaTheme="majorEastAsia" w:hAnsi="Times New Roman" w:cs="Times New Roman"/>
          <w:i/>
          <w:iCs/>
          <w:sz w:val="24"/>
          <w:szCs w:val="24"/>
        </w:rPr>
        <w:t>дјела</w:t>
      </w:r>
      <w:proofErr w:type="spellEnd"/>
      <w:r w:rsidRPr="00B32568">
        <w:rPr>
          <w:rFonts w:ascii="Times New Roman" w:eastAsiaTheme="majorEastAsia" w:hAnsi="Times New Roman" w:cs="Times New Roman"/>
          <w:i/>
          <w:iCs/>
          <w:sz w:val="24"/>
          <w:szCs w:val="24"/>
        </w:rPr>
        <w:t>.</w:t>
      </w:r>
      <w:proofErr w:type="gramEnd"/>
      <w:r w:rsidRPr="00B32568">
        <w:rPr>
          <w:rFonts w:ascii="Times New Roman" w:eastAsiaTheme="majorEastAsia" w:hAnsi="Times New Roman" w:cs="Times New Roman"/>
          <w:i/>
          <w:iCs/>
          <w:sz w:val="24"/>
          <w:szCs w:val="24"/>
        </w:rPr>
        <w:t xml:space="preserve"> </w:t>
      </w:r>
      <w:proofErr w:type="gramStart"/>
      <w:r w:rsidRPr="00B32568">
        <w:rPr>
          <w:rFonts w:ascii="Times New Roman" w:eastAsiaTheme="majorEastAsia" w:hAnsi="Times New Roman" w:cs="Times New Roman"/>
          <w:i/>
          <w:iCs/>
          <w:sz w:val="24"/>
          <w:szCs w:val="24"/>
        </w:rPr>
        <w:t xml:space="preserve">У </w:t>
      </w:r>
      <w:proofErr w:type="spellStart"/>
      <w:r w:rsidRPr="00B32568">
        <w:rPr>
          <w:rFonts w:ascii="Times New Roman" w:eastAsiaTheme="majorEastAsia" w:hAnsi="Times New Roman" w:cs="Times New Roman"/>
          <w:i/>
          <w:iCs/>
          <w:sz w:val="24"/>
          <w:szCs w:val="24"/>
        </w:rPr>
        <w:t>вези</w:t>
      </w:r>
      <w:proofErr w:type="spellEnd"/>
      <w:r w:rsidRPr="00B32568">
        <w:rPr>
          <w:rFonts w:ascii="Times New Roman" w:eastAsiaTheme="majorEastAsia" w:hAnsi="Times New Roman" w:cs="Times New Roman"/>
          <w:i/>
          <w:iCs/>
          <w:sz w:val="24"/>
          <w:szCs w:val="24"/>
        </w:rPr>
        <w:t xml:space="preserve"> </w:t>
      </w:r>
      <w:proofErr w:type="spellStart"/>
      <w:r w:rsidRPr="00B32568">
        <w:rPr>
          <w:rFonts w:ascii="Times New Roman" w:eastAsiaTheme="majorEastAsia" w:hAnsi="Times New Roman" w:cs="Times New Roman"/>
          <w:i/>
          <w:iCs/>
          <w:sz w:val="24"/>
          <w:szCs w:val="24"/>
        </w:rPr>
        <w:t>са</w:t>
      </w:r>
      <w:proofErr w:type="spellEnd"/>
      <w:r w:rsidRPr="00B32568">
        <w:rPr>
          <w:rFonts w:ascii="Times New Roman" w:eastAsiaTheme="majorEastAsia" w:hAnsi="Times New Roman" w:cs="Times New Roman"/>
          <w:i/>
          <w:iCs/>
          <w:sz w:val="24"/>
          <w:szCs w:val="24"/>
        </w:rPr>
        <w:t xml:space="preserve"> </w:t>
      </w:r>
      <w:proofErr w:type="spellStart"/>
      <w:r w:rsidRPr="00B32568">
        <w:rPr>
          <w:rFonts w:ascii="Times New Roman" w:eastAsiaTheme="majorEastAsia" w:hAnsi="Times New Roman" w:cs="Times New Roman"/>
          <w:i/>
          <w:iCs/>
          <w:sz w:val="24"/>
          <w:szCs w:val="24"/>
        </w:rPr>
        <w:t>питањем</w:t>
      </w:r>
      <w:proofErr w:type="spellEnd"/>
      <w:r w:rsidRPr="00B32568">
        <w:rPr>
          <w:rFonts w:ascii="Times New Roman" w:eastAsiaTheme="majorEastAsia" w:hAnsi="Times New Roman" w:cs="Times New Roman"/>
          <w:i/>
          <w:iCs/>
          <w:sz w:val="24"/>
          <w:szCs w:val="24"/>
        </w:rPr>
        <w:t xml:space="preserve"> </w:t>
      </w:r>
      <w:proofErr w:type="spellStart"/>
      <w:r w:rsidRPr="00B32568">
        <w:rPr>
          <w:rFonts w:ascii="Times New Roman" w:eastAsiaTheme="majorEastAsia" w:hAnsi="Times New Roman" w:cs="Times New Roman"/>
          <w:i/>
          <w:sz w:val="24"/>
          <w:szCs w:val="24"/>
        </w:rPr>
        <w:t>правила</w:t>
      </w:r>
      <w:proofErr w:type="spellEnd"/>
      <w:r w:rsidRPr="00B32568">
        <w:rPr>
          <w:rFonts w:ascii="Times New Roman" w:eastAsiaTheme="majorEastAsia" w:hAnsi="Times New Roman" w:cs="Times New Roman"/>
          <w:i/>
          <w:sz w:val="24"/>
          <w:szCs w:val="24"/>
        </w:rPr>
        <w:t xml:space="preserve"> и </w:t>
      </w:r>
      <w:proofErr w:type="spellStart"/>
      <w:r w:rsidRPr="00B32568">
        <w:rPr>
          <w:rFonts w:ascii="Times New Roman" w:eastAsiaTheme="majorEastAsia" w:hAnsi="Times New Roman" w:cs="Times New Roman"/>
          <w:i/>
          <w:sz w:val="24"/>
          <w:szCs w:val="24"/>
        </w:rPr>
        <w:t>поступака</w:t>
      </w:r>
      <w:proofErr w:type="spellEnd"/>
      <w:r w:rsidRPr="00B32568">
        <w:rPr>
          <w:rFonts w:ascii="Times New Roman" w:eastAsiaTheme="majorEastAsia" w:hAnsi="Times New Roman" w:cs="Times New Roman"/>
          <w:i/>
          <w:sz w:val="24"/>
          <w:szCs w:val="24"/>
        </w:rPr>
        <w:t xml:space="preserve"> </w:t>
      </w:r>
      <w:proofErr w:type="spellStart"/>
      <w:r w:rsidRPr="00B32568">
        <w:rPr>
          <w:rFonts w:ascii="Times New Roman" w:eastAsiaTheme="majorEastAsia" w:hAnsi="Times New Roman" w:cs="Times New Roman"/>
          <w:i/>
          <w:sz w:val="24"/>
          <w:szCs w:val="24"/>
        </w:rPr>
        <w:t>за</w:t>
      </w:r>
      <w:proofErr w:type="spellEnd"/>
      <w:r w:rsidRPr="00B32568">
        <w:rPr>
          <w:rFonts w:ascii="Times New Roman" w:eastAsiaTheme="majorEastAsia" w:hAnsi="Times New Roman" w:cs="Times New Roman"/>
          <w:i/>
          <w:sz w:val="24"/>
          <w:szCs w:val="24"/>
        </w:rPr>
        <w:t xml:space="preserve"> </w:t>
      </w:r>
      <w:proofErr w:type="spellStart"/>
      <w:r w:rsidRPr="00B32568">
        <w:rPr>
          <w:rFonts w:ascii="Times New Roman" w:eastAsiaTheme="majorEastAsia" w:hAnsi="Times New Roman" w:cs="Times New Roman"/>
          <w:i/>
          <w:sz w:val="24"/>
          <w:szCs w:val="24"/>
        </w:rPr>
        <w:t>утврђивања</w:t>
      </w:r>
      <w:proofErr w:type="spellEnd"/>
      <w:r w:rsidRPr="00B32568">
        <w:rPr>
          <w:rFonts w:ascii="Times New Roman" w:eastAsiaTheme="majorEastAsia" w:hAnsi="Times New Roman" w:cs="Times New Roman"/>
          <w:i/>
          <w:sz w:val="24"/>
          <w:szCs w:val="24"/>
        </w:rPr>
        <w:t xml:space="preserve"> </w:t>
      </w:r>
      <w:proofErr w:type="spellStart"/>
      <w:r w:rsidRPr="00B32568">
        <w:rPr>
          <w:rFonts w:ascii="Times New Roman" w:eastAsiaTheme="majorEastAsia" w:hAnsi="Times New Roman" w:cs="Times New Roman"/>
          <w:i/>
          <w:sz w:val="24"/>
          <w:szCs w:val="24"/>
        </w:rPr>
        <w:t>чињеница</w:t>
      </w:r>
      <w:proofErr w:type="spellEnd"/>
      <w:r w:rsidRPr="00B32568">
        <w:rPr>
          <w:rFonts w:ascii="Times New Roman" w:eastAsiaTheme="majorEastAsia" w:hAnsi="Times New Roman" w:cs="Times New Roman"/>
          <w:i/>
          <w:sz w:val="24"/>
          <w:szCs w:val="24"/>
        </w:rPr>
        <w:t xml:space="preserve">, </w:t>
      </w:r>
      <w:proofErr w:type="spellStart"/>
      <w:r w:rsidRPr="00B32568">
        <w:rPr>
          <w:rFonts w:ascii="Times New Roman" w:eastAsiaTheme="majorEastAsia" w:hAnsi="Times New Roman" w:cs="Times New Roman"/>
          <w:i/>
          <w:sz w:val="24"/>
          <w:szCs w:val="24"/>
        </w:rPr>
        <w:t>аутори</w:t>
      </w:r>
      <w:proofErr w:type="spellEnd"/>
      <w:r w:rsidRPr="00B32568">
        <w:rPr>
          <w:rFonts w:ascii="Times New Roman" w:eastAsiaTheme="majorEastAsia" w:hAnsi="Times New Roman" w:cs="Times New Roman"/>
          <w:i/>
          <w:sz w:val="24"/>
          <w:szCs w:val="24"/>
        </w:rPr>
        <w:t xml:space="preserve"> </w:t>
      </w:r>
      <w:proofErr w:type="spellStart"/>
      <w:r w:rsidRPr="00B32568">
        <w:rPr>
          <w:rFonts w:ascii="Times New Roman" w:eastAsiaTheme="majorEastAsia" w:hAnsi="Times New Roman" w:cs="Times New Roman"/>
          <w:i/>
          <w:sz w:val="24"/>
          <w:szCs w:val="24"/>
        </w:rPr>
        <w:t>посебну</w:t>
      </w:r>
      <w:proofErr w:type="spellEnd"/>
      <w:r w:rsidRPr="00B32568">
        <w:rPr>
          <w:rFonts w:ascii="Times New Roman" w:eastAsiaTheme="majorEastAsia" w:hAnsi="Times New Roman" w:cs="Times New Roman"/>
          <w:i/>
          <w:sz w:val="24"/>
          <w:szCs w:val="24"/>
        </w:rPr>
        <w:t xml:space="preserve"> </w:t>
      </w:r>
      <w:proofErr w:type="spellStart"/>
      <w:r w:rsidRPr="00B32568">
        <w:rPr>
          <w:rFonts w:ascii="Times New Roman" w:eastAsiaTheme="majorEastAsia" w:hAnsi="Times New Roman" w:cs="Times New Roman"/>
          <w:i/>
          <w:sz w:val="24"/>
          <w:szCs w:val="24"/>
        </w:rPr>
        <w:t>позорност</w:t>
      </w:r>
      <w:proofErr w:type="spellEnd"/>
      <w:r w:rsidRPr="00B32568">
        <w:rPr>
          <w:rFonts w:ascii="Times New Roman" w:eastAsiaTheme="majorEastAsia" w:hAnsi="Times New Roman" w:cs="Times New Roman"/>
          <w:i/>
          <w:sz w:val="24"/>
          <w:szCs w:val="24"/>
        </w:rPr>
        <w:t xml:space="preserve"> </w:t>
      </w:r>
      <w:proofErr w:type="spellStart"/>
      <w:r w:rsidRPr="00B32568">
        <w:rPr>
          <w:rFonts w:ascii="Times New Roman" w:eastAsiaTheme="majorEastAsia" w:hAnsi="Times New Roman" w:cs="Times New Roman"/>
          <w:i/>
          <w:sz w:val="24"/>
          <w:szCs w:val="24"/>
        </w:rPr>
        <w:t>посвећују</w:t>
      </w:r>
      <w:proofErr w:type="spellEnd"/>
      <w:r w:rsidRPr="00B32568">
        <w:rPr>
          <w:rFonts w:ascii="Times New Roman" w:eastAsiaTheme="majorEastAsia" w:hAnsi="Times New Roman" w:cs="Times New Roman"/>
          <w:i/>
          <w:sz w:val="24"/>
          <w:szCs w:val="24"/>
        </w:rPr>
        <w:t xml:space="preserve"> </w:t>
      </w:r>
      <w:proofErr w:type="spellStart"/>
      <w:r w:rsidRPr="00B32568">
        <w:rPr>
          <w:rFonts w:ascii="Times New Roman" w:eastAsiaTheme="majorEastAsia" w:hAnsi="Times New Roman" w:cs="Times New Roman"/>
          <w:i/>
          <w:sz w:val="24"/>
          <w:szCs w:val="24"/>
        </w:rPr>
        <w:t>разmатрању</w:t>
      </w:r>
      <w:proofErr w:type="spellEnd"/>
      <w:r w:rsidRPr="00B32568">
        <w:rPr>
          <w:rFonts w:ascii="Times New Roman" w:eastAsiaTheme="majorEastAsia" w:hAnsi="Times New Roman" w:cs="Times New Roman"/>
          <w:i/>
          <w:sz w:val="24"/>
          <w:szCs w:val="24"/>
        </w:rPr>
        <w:t xml:space="preserve"> </w:t>
      </w:r>
      <w:proofErr w:type="spellStart"/>
      <w:r w:rsidRPr="00B32568">
        <w:rPr>
          <w:rFonts w:ascii="Times New Roman" w:eastAsiaTheme="majorEastAsia" w:hAnsi="Times New Roman" w:cs="Times New Roman"/>
          <w:i/>
          <w:iCs/>
          <w:sz w:val="24"/>
          <w:szCs w:val="24"/>
        </w:rPr>
        <w:t>одређења</w:t>
      </w:r>
      <w:proofErr w:type="spellEnd"/>
      <w:r w:rsidRPr="00B32568">
        <w:rPr>
          <w:rFonts w:ascii="Times New Roman" w:eastAsiaTheme="majorEastAsia" w:hAnsi="Times New Roman" w:cs="Times New Roman"/>
          <w:i/>
          <w:iCs/>
          <w:sz w:val="24"/>
          <w:szCs w:val="24"/>
        </w:rPr>
        <w:t xml:space="preserve"> </w:t>
      </w:r>
      <w:proofErr w:type="spellStart"/>
      <w:r w:rsidRPr="00B32568">
        <w:rPr>
          <w:rFonts w:ascii="Times New Roman" w:eastAsiaTheme="majorEastAsia" w:hAnsi="Times New Roman" w:cs="Times New Roman"/>
          <w:i/>
          <w:iCs/>
          <w:sz w:val="24"/>
          <w:szCs w:val="24"/>
        </w:rPr>
        <w:t>чињеничне</w:t>
      </w:r>
      <w:proofErr w:type="spellEnd"/>
      <w:r w:rsidRPr="00B32568">
        <w:rPr>
          <w:rFonts w:ascii="Times New Roman" w:eastAsiaTheme="majorEastAsia" w:hAnsi="Times New Roman" w:cs="Times New Roman"/>
          <w:i/>
          <w:iCs/>
          <w:sz w:val="24"/>
          <w:szCs w:val="24"/>
        </w:rPr>
        <w:t xml:space="preserve"> </w:t>
      </w:r>
      <w:proofErr w:type="spellStart"/>
      <w:r w:rsidRPr="00B32568">
        <w:rPr>
          <w:rFonts w:ascii="Times New Roman" w:eastAsiaTheme="majorEastAsia" w:hAnsi="Times New Roman" w:cs="Times New Roman"/>
          <w:i/>
          <w:iCs/>
          <w:sz w:val="24"/>
          <w:szCs w:val="24"/>
        </w:rPr>
        <w:t>основе</w:t>
      </w:r>
      <w:proofErr w:type="spellEnd"/>
      <w:r w:rsidRPr="00B32568">
        <w:rPr>
          <w:rFonts w:ascii="Times New Roman" w:eastAsiaTheme="majorEastAsia" w:hAnsi="Times New Roman" w:cs="Times New Roman"/>
          <w:i/>
          <w:iCs/>
          <w:sz w:val="24"/>
          <w:szCs w:val="24"/>
        </w:rPr>
        <w:t xml:space="preserve"> </w:t>
      </w:r>
      <w:proofErr w:type="spellStart"/>
      <w:r w:rsidRPr="00B32568">
        <w:rPr>
          <w:rFonts w:ascii="Times New Roman" w:eastAsiaTheme="majorEastAsia" w:hAnsi="Times New Roman" w:cs="Times New Roman"/>
          <w:i/>
          <w:iCs/>
          <w:sz w:val="24"/>
          <w:szCs w:val="24"/>
        </w:rPr>
        <w:t>спора</w:t>
      </w:r>
      <w:proofErr w:type="spellEnd"/>
      <w:r w:rsidRPr="00B32568">
        <w:rPr>
          <w:rFonts w:ascii="Times New Roman" w:eastAsiaTheme="majorEastAsia" w:hAnsi="Times New Roman" w:cs="Times New Roman"/>
          <w:i/>
          <w:iCs/>
          <w:sz w:val="24"/>
          <w:szCs w:val="24"/>
        </w:rPr>
        <w:t xml:space="preserve">, </w:t>
      </w:r>
      <w:proofErr w:type="spellStart"/>
      <w:r w:rsidRPr="00B32568">
        <w:rPr>
          <w:rFonts w:ascii="Times New Roman" w:eastAsiaTheme="majorEastAsia" w:hAnsi="Times New Roman" w:cs="Times New Roman"/>
          <w:i/>
          <w:iCs/>
          <w:sz w:val="24"/>
          <w:szCs w:val="24"/>
        </w:rPr>
        <w:t>терету</w:t>
      </w:r>
      <w:proofErr w:type="spellEnd"/>
      <w:r w:rsidRPr="00B32568">
        <w:rPr>
          <w:rFonts w:ascii="Times New Roman" w:eastAsiaTheme="majorEastAsia" w:hAnsi="Times New Roman" w:cs="Times New Roman"/>
          <w:i/>
          <w:iCs/>
          <w:sz w:val="24"/>
          <w:szCs w:val="24"/>
        </w:rPr>
        <w:t xml:space="preserve"> </w:t>
      </w:r>
      <w:proofErr w:type="spellStart"/>
      <w:r w:rsidRPr="00B32568">
        <w:rPr>
          <w:rFonts w:ascii="Times New Roman" w:eastAsiaTheme="majorEastAsia" w:hAnsi="Times New Roman" w:cs="Times New Roman"/>
          <w:i/>
          <w:iCs/>
          <w:sz w:val="24"/>
          <w:szCs w:val="24"/>
        </w:rPr>
        <w:t>доказивања</w:t>
      </w:r>
      <w:proofErr w:type="spellEnd"/>
      <w:r w:rsidRPr="00B32568">
        <w:rPr>
          <w:rFonts w:ascii="Times New Roman" w:eastAsiaTheme="majorEastAsia" w:hAnsi="Times New Roman" w:cs="Times New Roman"/>
          <w:i/>
          <w:iCs/>
          <w:sz w:val="24"/>
          <w:szCs w:val="24"/>
        </w:rPr>
        <w:t xml:space="preserve"> и </w:t>
      </w:r>
      <w:proofErr w:type="spellStart"/>
      <w:r w:rsidRPr="00B32568">
        <w:rPr>
          <w:rFonts w:ascii="Times New Roman" w:eastAsiaTheme="majorEastAsia" w:hAnsi="Times New Roman" w:cs="Times New Roman"/>
          <w:i/>
          <w:sz w:val="24"/>
          <w:szCs w:val="24"/>
        </w:rPr>
        <w:t>процесним</w:t>
      </w:r>
      <w:proofErr w:type="spellEnd"/>
      <w:r w:rsidRPr="00B32568">
        <w:rPr>
          <w:rFonts w:ascii="Times New Roman" w:eastAsiaTheme="majorEastAsia" w:hAnsi="Times New Roman" w:cs="Times New Roman"/>
          <w:i/>
          <w:sz w:val="24"/>
          <w:szCs w:val="24"/>
        </w:rPr>
        <w:t xml:space="preserve"> </w:t>
      </w:r>
      <w:proofErr w:type="spellStart"/>
      <w:r w:rsidRPr="00B32568">
        <w:rPr>
          <w:rFonts w:ascii="Times New Roman" w:eastAsiaTheme="majorEastAsia" w:hAnsi="Times New Roman" w:cs="Times New Roman"/>
          <w:i/>
          <w:sz w:val="24"/>
          <w:szCs w:val="24"/>
        </w:rPr>
        <w:t>правилима</w:t>
      </w:r>
      <w:proofErr w:type="spellEnd"/>
      <w:r w:rsidRPr="00B32568">
        <w:rPr>
          <w:rFonts w:ascii="Times New Roman" w:eastAsiaTheme="majorEastAsia" w:hAnsi="Times New Roman" w:cs="Times New Roman"/>
          <w:i/>
          <w:sz w:val="24"/>
          <w:szCs w:val="24"/>
        </w:rPr>
        <w:t xml:space="preserve"> о </w:t>
      </w:r>
      <w:proofErr w:type="spellStart"/>
      <w:r w:rsidRPr="00B32568">
        <w:rPr>
          <w:rFonts w:ascii="Times New Roman" w:eastAsiaTheme="majorEastAsia" w:hAnsi="Times New Roman" w:cs="Times New Roman"/>
          <w:i/>
          <w:sz w:val="24"/>
          <w:szCs w:val="24"/>
        </w:rPr>
        <w:t>извођењу</w:t>
      </w:r>
      <w:proofErr w:type="spellEnd"/>
      <w:r w:rsidRPr="00B32568">
        <w:rPr>
          <w:rFonts w:ascii="Times New Roman" w:eastAsiaTheme="majorEastAsia" w:hAnsi="Times New Roman" w:cs="Times New Roman"/>
          <w:i/>
          <w:sz w:val="24"/>
          <w:szCs w:val="24"/>
        </w:rPr>
        <w:t xml:space="preserve"> </w:t>
      </w:r>
      <w:proofErr w:type="spellStart"/>
      <w:r w:rsidRPr="00B32568">
        <w:rPr>
          <w:rFonts w:ascii="Times New Roman" w:eastAsiaTheme="majorEastAsia" w:hAnsi="Times New Roman" w:cs="Times New Roman"/>
          <w:i/>
          <w:sz w:val="24"/>
          <w:szCs w:val="24"/>
        </w:rPr>
        <w:t>доказа</w:t>
      </w:r>
      <w:proofErr w:type="spellEnd"/>
      <w:r w:rsidRPr="00B32568">
        <w:rPr>
          <w:rFonts w:ascii="Times New Roman" w:eastAsiaTheme="majorEastAsia" w:hAnsi="Times New Roman" w:cs="Times New Roman"/>
          <w:i/>
          <w:sz w:val="24"/>
          <w:szCs w:val="24"/>
        </w:rPr>
        <w:t>.</w:t>
      </w:r>
      <w:proofErr w:type="gramEnd"/>
      <w:r w:rsidRPr="00B32568">
        <w:rPr>
          <w:rFonts w:ascii="Times New Roman" w:eastAsiaTheme="majorEastAsia" w:hAnsi="Times New Roman" w:cs="Times New Roman"/>
          <w:i/>
          <w:sz w:val="24"/>
          <w:szCs w:val="24"/>
        </w:rPr>
        <w:t xml:space="preserve"> </w:t>
      </w:r>
      <w:proofErr w:type="spellStart"/>
      <w:proofErr w:type="gramStart"/>
      <w:r w:rsidRPr="00B32568">
        <w:rPr>
          <w:rFonts w:ascii="Times New Roman" w:hAnsi="Times New Roman" w:cs="Times New Roman"/>
          <w:i/>
          <w:color w:val="272727"/>
          <w:sz w:val="24"/>
          <w:szCs w:val="24"/>
          <w:shd w:val="clear" w:color="auto" w:fill="FFFFFF"/>
        </w:rPr>
        <w:t>Јасно</w:t>
      </w:r>
      <w:proofErr w:type="spell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color w:val="272727"/>
          <w:sz w:val="24"/>
          <w:szCs w:val="24"/>
          <w:shd w:val="clear" w:color="auto" w:fill="FFFFFF"/>
        </w:rPr>
        <w:t>истичући</w:t>
      </w:r>
      <w:proofErr w:type="spell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sz w:val="24"/>
          <w:szCs w:val="24"/>
        </w:rPr>
        <w:t>различите</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класификације</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доказа</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који</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се</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могу</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извести</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пред</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судом</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аутори</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наглашавају</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да</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енглеско</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право</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сва</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саслушања</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третира</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на</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исти</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начин</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односно</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исказе</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окривљеног</w:t>
      </w:r>
      <w:proofErr w:type="spellEnd"/>
      <w:r w:rsidRPr="00B32568">
        <w:rPr>
          <w:rFonts w:ascii="Times New Roman" w:hAnsi="Times New Roman" w:cs="Times New Roman"/>
          <w:i/>
          <w:sz w:val="24"/>
          <w:szCs w:val="24"/>
        </w:rPr>
        <w:t xml:space="preserve"> и </w:t>
      </w:r>
      <w:proofErr w:type="spellStart"/>
      <w:r w:rsidRPr="00B32568">
        <w:rPr>
          <w:rFonts w:ascii="Times New Roman" w:hAnsi="Times New Roman" w:cs="Times New Roman"/>
          <w:i/>
          <w:sz w:val="24"/>
          <w:szCs w:val="24"/>
        </w:rPr>
        <w:t>вјештака</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такође</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подводи</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под</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режим</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саслушања</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свједока</w:t>
      </w:r>
      <w:proofErr w:type="spellEnd"/>
      <w:r w:rsidRPr="00B32568">
        <w:rPr>
          <w:rFonts w:ascii="Times New Roman" w:hAnsi="Times New Roman" w:cs="Times New Roman"/>
          <w:i/>
          <w:sz w:val="24"/>
          <w:szCs w:val="24"/>
        </w:rPr>
        <w:t>.</w:t>
      </w:r>
      <w:proofErr w:type="gramEnd"/>
      <w:r w:rsidRPr="00B32568">
        <w:rPr>
          <w:rFonts w:ascii="Times New Roman" w:eastAsiaTheme="majorEastAsia" w:hAnsi="Times New Roman" w:cs="Times New Roman"/>
          <w:i/>
          <w:sz w:val="24"/>
          <w:szCs w:val="24"/>
        </w:rPr>
        <w:t xml:space="preserve"> </w:t>
      </w:r>
      <w:proofErr w:type="spellStart"/>
      <w:r w:rsidRPr="00B32568">
        <w:rPr>
          <w:rFonts w:ascii="Times New Roman" w:hAnsi="Times New Roman" w:cs="Times New Roman"/>
          <w:i/>
          <w:color w:val="272727"/>
          <w:sz w:val="24"/>
          <w:szCs w:val="24"/>
          <w:shd w:val="clear" w:color="auto" w:fill="FFFFFF"/>
        </w:rPr>
        <w:t>Полазећи</w:t>
      </w:r>
      <w:proofErr w:type="spell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color w:val="272727"/>
          <w:sz w:val="24"/>
          <w:szCs w:val="24"/>
          <w:shd w:val="clear" w:color="auto" w:fill="FFFFFF"/>
        </w:rPr>
        <w:t>од</w:t>
      </w:r>
      <w:proofErr w:type="spell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color w:val="272727"/>
          <w:sz w:val="24"/>
          <w:szCs w:val="24"/>
          <w:shd w:val="clear" w:color="auto" w:fill="FFFFFF"/>
        </w:rPr>
        <w:t>тога</w:t>
      </w:r>
      <w:proofErr w:type="spell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color w:val="272727"/>
          <w:sz w:val="24"/>
          <w:szCs w:val="24"/>
          <w:shd w:val="clear" w:color="auto" w:fill="FFFFFF"/>
        </w:rPr>
        <w:t>да</w:t>
      </w:r>
      <w:proofErr w:type="spell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color w:val="272727"/>
          <w:sz w:val="24"/>
          <w:szCs w:val="24"/>
          <w:shd w:val="clear" w:color="auto" w:fill="FFFFFF"/>
        </w:rPr>
        <w:t>је</w:t>
      </w:r>
      <w:proofErr w:type="spell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color w:val="272727"/>
          <w:sz w:val="24"/>
          <w:szCs w:val="24"/>
          <w:shd w:val="clear" w:color="auto" w:fill="FFFFFF"/>
        </w:rPr>
        <w:t>битно</w:t>
      </w:r>
      <w:proofErr w:type="spell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color w:val="272727"/>
          <w:sz w:val="24"/>
          <w:szCs w:val="24"/>
          <w:shd w:val="clear" w:color="auto" w:fill="FFFFFF"/>
        </w:rPr>
        <w:t>обиљежје</w:t>
      </w:r>
      <w:proofErr w:type="spell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color w:val="272727"/>
          <w:sz w:val="24"/>
          <w:szCs w:val="24"/>
          <w:shd w:val="clear" w:color="auto" w:fill="FFFFFF"/>
        </w:rPr>
        <w:t>правних</w:t>
      </w:r>
      <w:proofErr w:type="spell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color w:val="272727"/>
          <w:sz w:val="24"/>
          <w:szCs w:val="24"/>
          <w:shd w:val="clear" w:color="auto" w:fill="FFFFFF"/>
        </w:rPr>
        <w:t>начела</w:t>
      </w:r>
      <w:proofErr w:type="spellEnd"/>
      <w:r w:rsidRPr="00B32568">
        <w:rPr>
          <w:rFonts w:ascii="Times New Roman" w:eastAsiaTheme="majorEastAsia" w:hAnsi="Times New Roman" w:cs="Times New Roman"/>
          <w:i/>
          <w:sz w:val="24"/>
          <w:szCs w:val="24"/>
        </w:rPr>
        <w:t xml:space="preserve"> </w:t>
      </w:r>
      <w:proofErr w:type="spellStart"/>
      <w:r w:rsidRPr="00B32568">
        <w:rPr>
          <w:rFonts w:ascii="Times New Roman" w:hAnsi="Times New Roman" w:cs="Times New Roman"/>
          <w:i/>
          <w:color w:val="272727"/>
          <w:sz w:val="24"/>
          <w:szCs w:val="24"/>
          <w:shd w:val="clear" w:color="auto" w:fill="FFFFFF"/>
        </w:rPr>
        <w:t>то</w:t>
      </w:r>
      <w:proofErr w:type="spell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color w:val="272727"/>
          <w:sz w:val="24"/>
          <w:szCs w:val="24"/>
          <w:shd w:val="clear" w:color="auto" w:fill="FFFFFF"/>
        </w:rPr>
        <w:t>што</w:t>
      </w:r>
      <w:proofErr w:type="spellEnd"/>
      <w:r w:rsidRPr="00B32568">
        <w:rPr>
          <w:rFonts w:ascii="Times New Roman" w:hAnsi="Times New Roman" w:cs="Times New Roman"/>
          <w:i/>
          <w:color w:val="272727"/>
          <w:sz w:val="24"/>
          <w:szCs w:val="24"/>
          <w:shd w:val="clear" w:color="auto" w:fill="FFFFFF"/>
        </w:rPr>
        <w:t xml:space="preserve"> </w:t>
      </w:r>
      <w:r w:rsidRPr="00B32568">
        <w:rPr>
          <w:rFonts w:ascii="Times New Roman" w:hAnsi="Times New Roman" w:cs="Times New Roman"/>
          <w:i/>
          <w:sz w:val="24"/>
          <w:szCs w:val="24"/>
        </w:rPr>
        <w:t xml:space="preserve">у </w:t>
      </w:r>
      <w:proofErr w:type="spellStart"/>
      <w:r w:rsidRPr="00B32568">
        <w:rPr>
          <w:rFonts w:ascii="Times New Roman" w:hAnsi="Times New Roman" w:cs="Times New Roman"/>
          <w:i/>
          <w:sz w:val="24"/>
          <w:szCs w:val="24"/>
        </w:rPr>
        <w:t>енглеском</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праву</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постоји</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облигаторно</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искључење</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незаконито</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добијеног</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признања</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окривљенog</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из</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доказног</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материјала</w:t>
      </w:r>
      <w:proofErr w:type="spellEnd"/>
      <w:proofErr w:type="gramStart"/>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износи</w:t>
      </w:r>
      <w:proofErr w:type="spellEnd"/>
      <w:proofErr w:type="gram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се</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закључак</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да</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је</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ексклузијско</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правило</w:t>
      </w:r>
      <w:proofErr w:type="spellEnd"/>
      <w:r w:rsidRPr="00B32568">
        <w:rPr>
          <w:rFonts w:ascii="Times New Roman" w:hAnsi="Times New Roman" w:cs="Times New Roman"/>
          <w:i/>
          <w:sz w:val="24"/>
          <w:szCs w:val="24"/>
        </w:rPr>
        <w:t xml:space="preserve"> у </w:t>
      </w:r>
      <w:proofErr w:type="spellStart"/>
      <w:r w:rsidRPr="00B32568">
        <w:rPr>
          <w:rFonts w:ascii="Times New Roman" w:hAnsi="Times New Roman" w:cs="Times New Roman"/>
          <w:i/>
          <w:sz w:val="24"/>
          <w:szCs w:val="24"/>
        </w:rPr>
        <w:t>суштини</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релативно</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ексклузијско</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правило</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са</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великом</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дискреционом</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оцјеном</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судије</w:t>
      </w:r>
      <w:proofErr w:type="spellEnd"/>
      <w:r w:rsidRPr="00B32568">
        <w:rPr>
          <w:rFonts w:ascii="Times New Roman" w:hAnsi="Times New Roman" w:cs="Times New Roman"/>
          <w:i/>
          <w:sz w:val="24"/>
          <w:szCs w:val="24"/>
        </w:rPr>
        <w:t xml:space="preserve">. </w:t>
      </w:r>
      <w:proofErr w:type="spellStart"/>
      <w:proofErr w:type="gramStart"/>
      <w:r w:rsidRPr="00B32568">
        <w:rPr>
          <w:rFonts w:ascii="Times New Roman" w:hAnsi="Times New Roman" w:cs="Times New Roman"/>
          <w:i/>
          <w:sz w:val="24"/>
          <w:szCs w:val="24"/>
        </w:rPr>
        <w:t>Износећи</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закључке</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аутори</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оцјењују</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да</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се</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цјелокупан</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доказни</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поступак</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врсте</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доказа</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начин</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њиховог</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прикупљања</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извођења</w:t>
      </w:r>
      <w:proofErr w:type="spellEnd"/>
      <w:r w:rsidRPr="00B32568">
        <w:rPr>
          <w:rFonts w:ascii="Times New Roman" w:hAnsi="Times New Roman" w:cs="Times New Roman"/>
          <w:i/>
          <w:sz w:val="24"/>
          <w:szCs w:val="24"/>
        </w:rPr>
        <w:t xml:space="preserve"> и </w:t>
      </w:r>
      <w:proofErr w:type="spellStart"/>
      <w:r w:rsidRPr="00B32568">
        <w:rPr>
          <w:rFonts w:ascii="Times New Roman" w:hAnsi="Times New Roman" w:cs="Times New Roman"/>
          <w:i/>
          <w:sz w:val="24"/>
          <w:szCs w:val="24"/>
        </w:rPr>
        <w:t>оцјењивања</w:t>
      </w:r>
      <w:proofErr w:type="spellEnd"/>
      <w:r w:rsidRPr="00B32568">
        <w:rPr>
          <w:rFonts w:ascii="Times New Roman" w:hAnsi="Times New Roman" w:cs="Times New Roman"/>
          <w:i/>
          <w:sz w:val="24"/>
          <w:szCs w:val="24"/>
        </w:rPr>
        <w:t xml:space="preserve"> у </w:t>
      </w:r>
      <w:proofErr w:type="spellStart"/>
      <w:r w:rsidRPr="00B32568">
        <w:rPr>
          <w:rFonts w:ascii="Times New Roman" w:hAnsi="Times New Roman" w:cs="Times New Roman"/>
          <w:i/>
          <w:sz w:val="24"/>
          <w:szCs w:val="24"/>
        </w:rPr>
        <w:t>енглеском</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праву</w:t>
      </w:r>
      <w:proofErr w:type="spellEnd"/>
      <w:r w:rsidRPr="00B32568">
        <w:rPr>
          <w:rFonts w:ascii="Times New Roman" w:hAnsi="Times New Roman" w:cs="Times New Roman"/>
          <w:i/>
          <w:sz w:val="24"/>
          <w:szCs w:val="24"/>
        </w:rPr>
        <w:t xml:space="preserve">, у </w:t>
      </w:r>
      <w:proofErr w:type="spellStart"/>
      <w:r w:rsidRPr="00B32568">
        <w:rPr>
          <w:rFonts w:ascii="Times New Roman" w:hAnsi="Times New Roman" w:cs="Times New Roman"/>
          <w:i/>
          <w:sz w:val="24"/>
          <w:szCs w:val="24"/>
        </w:rPr>
        <w:t>мањој</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или</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већој</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мјери</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разликује</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од</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континенталног</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кривичног</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поступка</w:t>
      </w:r>
      <w:proofErr w:type="spellEnd"/>
      <w:r w:rsidRPr="00B32568">
        <w:rPr>
          <w:rFonts w:ascii="Times New Roman" w:hAnsi="Times New Roman" w:cs="Times New Roman"/>
          <w:i/>
          <w:sz w:val="24"/>
          <w:szCs w:val="24"/>
        </w:rPr>
        <w:t>.</w:t>
      </w:r>
      <w:proofErr w:type="gramEnd"/>
    </w:p>
    <w:p w:rsidR="00EE4634" w:rsidRDefault="00EE4634" w:rsidP="00EE4634">
      <w:pPr>
        <w:keepNext/>
        <w:keepLines/>
        <w:spacing w:before="40" w:after="0" w:line="240" w:lineRule="auto"/>
        <w:jc w:val="both"/>
        <w:outlineLvl w:val="2"/>
        <w:rPr>
          <w:rFonts w:ascii="Times New Roman" w:eastAsiaTheme="majorEastAsia" w:hAnsi="Times New Roman" w:cs="Times New Roman"/>
          <w:sz w:val="24"/>
          <w:szCs w:val="24"/>
        </w:rPr>
      </w:pPr>
    </w:p>
    <w:p w:rsidR="0078789C" w:rsidRPr="00B32568" w:rsidRDefault="0078789C" w:rsidP="00EE4634">
      <w:pPr>
        <w:keepNext/>
        <w:keepLines/>
        <w:spacing w:before="40" w:after="0" w:line="240" w:lineRule="auto"/>
        <w:jc w:val="both"/>
        <w:outlineLvl w:val="2"/>
        <w:rPr>
          <w:rFonts w:ascii="Times New Roman" w:eastAsiaTheme="majorEastAsia" w:hAnsi="Times New Roman" w:cs="Times New Roman"/>
          <w:sz w:val="24"/>
          <w:szCs w:val="24"/>
        </w:rPr>
      </w:pPr>
      <w:proofErr w:type="spellStart"/>
      <w:r w:rsidRPr="00B32568">
        <w:rPr>
          <w:rFonts w:ascii="Times New Roman" w:eastAsiaTheme="majorEastAsia" w:hAnsi="Times New Roman" w:cs="Times New Roman"/>
          <w:i/>
          <w:sz w:val="24"/>
          <w:szCs w:val="24"/>
        </w:rPr>
        <w:t>Кључне</w:t>
      </w:r>
      <w:proofErr w:type="spellEnd"/>
      <w:r w:rsidRPr="00B32568">
        <w:rPr>
          <w:rFonts w:ascii="Times New Roman" w:eastAsiaTheme="majorEastAsia" w:hAnsi="Times New Roman" w:cs="Times New Roman"/>
          <w:i/>
          <w:sz w:val="24"/>
          <w:szCs w:val="24"/>
        </w:rPr>
        <w:t xml:space="preserve"> </w:t>
      </w:r>
      <w:proofErr w:type="spellStart"/>
      <w:r w:rsidRPr="00B32568">
        <w:rPr>
          <w:rFonts w:ascii="Times New Roman" w:eastAsiaTheme="majorEastAsia" w:hAnsi="Times New Roman" w:cs="Times New Roman"/>
          <w:i/>
          <w:sz w:val="24"/>
          <w:szCs w:val="24"/>
        </w:rPr>
        <w:t>ријечи</w:t>
      </w:r>
      <w:proofErr w:type="spellEnd"/>
      <w:r w:rsidRPr="00B32568">
        <w:rPr>
          <w:rFonts w:ascii="Times New Roman" w:eastAsiaTheme="majorEastAsia" w:hAnsi="Times New Roman" w:cs="Times New Roman"/>
          <w:i/>
          <w:sz w:val="24"/>
          <w:szCs w:val="24"/>
        </w:rPr>
        <w:t xml:space="preserve">: </w:t>
      </w:r>
      <w:proofErr w:type="spellStart"/>
      <w:r w:rsidRPr="00B32568">
        <w:rPr>
          <w:rFonts w:ascii="Times New Roman" w:hAnsi="Times New Roman" w:cs="Times New Roman"/>
          <w:i/>
          <w:color w:val="272727"/>
          <w:sz w:val="24"/>
          <w:szCs w:val="24"/>
          <w:shd w:val="clear" w:color="auto" w:fill="FFFFFF"/>
        </w:rPr>
        <w:t>кривични</w:t>
      </w:r>
      <w:proofErr w:type="spell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color w:val="272727"/>
          <w:sz w:val="24"/>
          <w:szCs w:val="24"/>
          <w:shd w:val="clear" w:color="auto" w:fill="FFFFFF"/>
        </w:rPr>
        <w:t>поступак</w:t>
      </w:r>
      <w:proofErr w:type="spell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color w:val="272727"/>
          <w:sz w:val="24"/>
          <w:szCs w:val="24"/>
          <w:shd w:val="clear" w:color="auto" w:fill="FFFFFF"/>
        </w:rPr>
        <w:t>Енглеска</w:t>
      </w:r>
      <w:proofErr w:type="spell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color w:val="272727"/>
          <w:sz w:val="24"/>
          <w:szCs w:val="24"/>
          <w:shd w:val="clear" w:color="auto" w:fill="FFFFFF"/>
        </w:rPr>
        <w:t>докази</w:t>
      </w:r>
      <w:proofErr w:type="spellEnd"/>
      <w:r w:rsidRPr="00B32568">
        <w:rPr>
          <w:rFonts w:ascii="Times New Roman" w:hAnsi="Times New Roman" w:cs="Times New Roman"/>
          <w:i/>
          <w:color w:val="272727"/>
          <w:sz w:val="24"/>
          <w:szCs w:val="24"/>
          <w:shd w:val="clear" w:color="auto" w:fill="FFFFFF"/>
        </w:rPr>
        <w:t xml:space="preserve">, </w:t>
      </w:r>
      <w:proofErr w:type="spellStart"/>
      <w:r w:rsidRPr="00B32568">
        <w:rPr>
          <w:rFonts w:ascii="Times New Roman" w:hAnsi="Times New Roman" w:cs="Times New Roman"/>
          <w:i/>
          <w:sz w:val="24"/>
          <w:szCs w:val="24"/>
        </w:rPr>
        <w:t>акузаторски</w:t>
      </w:r>
      <w:proofErr w:type="spellEnd"/>
      <w:r w:rsidRPr="00B32568">
        <w:rPr>
          <w:rFonts w:ascii="Times New Roman" w:hAnsi="Times New Roman" w:cs="Times New Roman"/>
          <w:i/>
          <w:sz w:val="24"/>
          <w:szCs w:val="24"/>
        </w:rPr>
        <w:t xml:space="preserve"> </w:t>
      </w:r>
      <w:proofErr w:type="spellStart"/>
      <w:r w:rsidRPr="00B32568">
        <w:rPr>
          <w:rFonts w:ascii="Times New Roman" w:hAnsi="Times New Roman" w:cs="Times New Roman"/>
          <w:i/>
          <w:sz w:val="24"/>
          <w:szCs w:val="24"/>
        </w:rPr>
        <w:t>поступак</w:t>
      </w:r>
      <w:proofErr w:type="spellEnd"/>
      <w:r w:rsidRPr="00B32568">
        <w:rPr>
          <w:rFonts w:ascii="Times New Roman" w:hAnsi="Times New Roman" w:cs="Times New Roman"/>
          <w:i/>
          <w:sz w:val="24"/>
          <w:szCs w:val="24"/>
        </w:rPr>
        <w:t xml:space="preserve">, common law, </w:t>
      </w:r>
      <w:proofErr w:type="spellStart"/>
      <w:r w:rsidRPr="00B32568">
        <w:rPr>
          <w:rFonts w:ascii="Times New Roman" w:eastAsiaTheme="majorEastAsia" w:hAnsi="Times New Roman" w:cs="Times New Roman"/>
          <w:i/>
          <w:iCs/>
          <w:sz w:val="24"/>
          <w:szCs w:val="24"/>
        </w:rPr>
        <w:t>терет</w:t>
      </w:r>
      <w:proofErr w:type="spellEnd"/>
      <w:r w:rsidRPr="00B32568">
        <w:rPr>
          <w:rFonts w:ascii="Times New Roman" w:eastAsiaTheme="majorEastAsia" w:hAnsi="Times New Roman" w:cs="Times New Roman"/>
          <w:i/>
          <w:iCs/>
          <w:sz w:val="24"/>
          <w:szCs w:val="24"/>
        </w:rPr>
        <w:t xml:space="preserve"> </w:t>
      </w:r>
      <w:proofErr w:type="spellStart"/>
      <w:r w:rsidRPr="00B32568">
        <w:rPr>
          <w:rFonts w:ascii="Times New Roman" w:eastAsiaTheme="majorEastAsia" w:hAnsi="Times New Roman" w:cs="Times New Roman"/>
          <w:i/>
          <w:iCs/>
          <w:sz w:val="24"/>
          <w:szCs w:val="24"/>
        </w:rPr>
        <w:t>доказивања</w:t>
      </w:r>
      <w:proofErr w:type="spellEnd"/>
      <w:r w:rsidRPr="00B32568">
        <w:rPr>
          <w:rFonts w:ascii="Times New Roman" w:eastAsiaTheme="majorEastAsia" w:hAnsi="Times New Roman" w:cs="Times New Roman"/>
          <w:i/>
          <w:iCs/>
          <w:sz w:val="24"/>
          <w:szCs w:val="24"/>
        </w:rPr>
        <w:t xml:space="preserve">, </w:t>
      </w:r>
      <w:proofErr w:type="spellStart"/>
      <w:r w:rsidRPr="00B32568">
        <w:rPr>
          <w:rFonts w:ascii="Times New Roman" w:eastAsiaTheme="majorEastAsia" w:hAnsi="Times New Roman" w:cs="Times New Roman"/>
          <w:i/>
          <w:sz w:val="24"/>
          <w:szCs w:val="24"/>
        </w:rPr>
        <w:t>оцјена</w:t>
      </w:r>
      <w:proofErr w:type="spellEnd"/>
      <w:r w:rsidRPr="00B32568">
        <w:rPr>
          <w:rFonts w:ascii="Times New Roman" w:eastAsiaTheme="majorEastAsia" w:hAnsi="Times New Roman" w:cs="Times New Roman"/>
          <w:i/>
          <w:sz w:val="24"/>
          <w:szCs w:val="24"/>
        </w:rPr>
        <w:t xml:space="preserve"> </w:t>
      </w:r>
      <w:proofErr w:type="spellStart"/>
      <w:r w:rsidRPr="00B32568">
        <w:rPr>
          <w:rFonts w:ascii="Times New Roman" w:eastAsiaTheme="majorEastAsia" w:hAnsi="Times New Roman" w:cs="Times New Roman"/>
          <w:i/>
          <w:sz w:val="24"/>
          <w:szCs w:val="24"/>
        </w:rPr>
        <w:t>доказа</w:t>
      </w:r>
      <w:proofErr w:type="spellEnd"/>
      <w:r w:rsidRPr="00B32568">
        <w:rPr>
          <w:rFonts w:ascii="Times New Roman" w:eastAsiaTheme="majorEastAsia" w:hAnsi="Times New Roman" w:cs="Times New Roman"/>
          <w:i/>
          <w:sz w:val="24"/>
          <w:szCs w:val="24"/>
        </w:rPr>
        <w:t>.</w:t>
      </w:r>
    </w:p>
    <w:p w:rsidR="0078789C" w:rsidRDefault="0078789C" w:rsidP="00EE4634">
      <w:pPr>
        <w:pStyle w:val="FootnoteText"/>
        <w:ind w:firstLine="720"/>
        <w:jc w:val="both"/>
        <w:rPr>
          <w:sz w:val="24"/>
          <w:szCs w:val="24"/>
          <w:lang w:val="en-US"/>
        </w:rPr>
      </w:pPr>
    </w:p>
    <w:p w:rsidR="0078789C" w:rsidRDefault="0078789C" w:rsidP="00EE4634">
      <w:pPr>
        <w:pStyle w:val="FootnoteText"/>
        <w:ind w:firstLine="720"/>
        <w:jc w:val="both"/>
        <w:rPr>
          <w:sz w:val="24"/>
          <w:szCs w:val="24"/>
          <w:lang w:val="en-US"/>
        </w:rPr>
      </w:pPr>
    </w:p>
    <w:p w:rsidR="0078789C" w:rsidRDefault="0078789C" w:rsidP="00EE4634">
      <w:pPr>
        <w:pStyle w:val="FootnoteText"/>
        <w:ind w:firstLine="720"/>
        <w:jc w:val="both"/>
        <w:rPr>
          <w:sz w:val="24"/>
          <w:szCs w:val="24"/>
          <w:lang w:val="en-US"/>
        </w:rPr>
      </w:pPr>
    </w:p>
    <w:p w:rsidR="0078789C" w:rsidRDefault="0078789C" w:rsidP="00EE4634">
      <w:pPr>
        <w:pStyle w:val="FootnoteText"/>
        <w:ind w:firstLine="720"/>
        <w:jc w:val="both"/>
        <w:rPr>
          <w:sz w:val="24"/>
          <w:szCs w:val="24"/>
          <w:lang w:val="en-US"/>
        </w:rPr>
      </w:pPr>
    </w:p>
    <w:p w:rsidR="0078789C" w:rsidRDefault="0078789C" w:rsidP="00EE4634">
      <w:pPr>
        <w:pStyle w:val="FootnoteText"/>
        <w:ind w:firstLine="720"/>
        <w:jc w:val="both"/>
        <w:rPr>
          <w:sz w:val="24"/>
          <w:szCs w:val="24"/>
          <w:lang w:val="en-US"/>
        </w:rPr>
      </w:pPr>
    </w:p>
    <w:p w:rsidR="0078789C" w:rsidRDefault="0078789C" w:rsidP="00EE4634">
      <w:pPr>
        <w:pStyle w:val="FootnoteText"/>
        <w:ind w:firstLine="720"/>
        <w:jc w:val="both"/>
        <w:rPr>
          <w:sz w:val="24"/>
          <w:szCs w:val="24"/>
          <w:lang w:val="en-US"/>
        </w:rPr>
      </w:pPr>
    </w:p>
    <w:p w:rsidR="0078789C" w:rsidRDefault="0078789C" w:rsidP="00EE4634">
      <w:pPr>
        <w:pStyle w:val="FootnoteText"/>
        <w:ind w:firstLine="720"/>
        <w:jc w:val="both"/>
        <w:rPr>
          <w:sz w:val="24"/>
          <w:szCs w:val="24"/>
          <w:lang w:val="en-US"/>
        </w:rPr>
      </w:pPr>
    </w:p>
    <w:p w:rsidR="0078789C" w:rsidRDefault="0078789C" w:rsidP="00EE4634">
      <w:pPr>
        <w:pStyle w:val="FootnoteText"/>
        <w:ind w:firstLine="720"/>
        <w:jc w:val="both"/>
        <w:rPr>
          <w:sz w:val="24"/>
          <w:szCs w:val="24"/>
          <w:lang w:val="en-US"/>
        </w:rPr>
      </w:pPr>
    </w:p>
    <w:p w:rsidR="0078789C" w:rsidRDefault="0078789C" w:rsidP="00EE4634">
      <w:pPr>
        <w:pStyle w:val="FootnoteText"/>
        <w:ind w:firstLine="720"/>
        <w:jc w:val="both"/>
        <w:rPr>
          <w:sz w:val="24"/>
          <w:szCs w:val="24"/>
          <w:lang w:val="en-US"/>
        </w:rPr>
      </w:pPr>
    </w:p>
    <w:p w:rsidR="0056297E" w:rsidRPr="00B32568" w:rsidRDefault="0056297E" w:rsidP="00EE4634">
      <w:pPr>
        <w:pStyle w:val="FootnoteText"/>
        <w:jc w:val="both"/>
        <w:rPr>
          <w:lang w:val="en-US"/>
        </w:rPr>
      </w:pPr>
    </w:p>
    <w:sectPr w:rsidR="0056297E" w:rsidRPr="00B32568" w:rsidSect="001F2114">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153" w:rsidRDefault="00F34153" w:rsidP="00025ADF">
      <w:pPr>
        <w:spacing w:after="0" w:line="240" w:lineRule="auto"/>
      </w:pPr>
      <w:r>
        <w:separator/>
      </w:r>
    </w:p>
  </w:endnote>
  <w:endnote w:type="continuationSeparator" w:id="0">
    <w:p w:rsidR="00F34153" w:rsidRDefault="00F34153" w:rsidP="00025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294823"/>
      <w:docPartObj>
        <w:docPartGallery w:val="Page Numbers (Bottom of Page)"/>
        <w:docPartUnique/>
      </w:docPartObj>
    </w:sdtPr>
    <w:sdtEndPr>
      <w:rPr>
        <w:noProof/>
      </w:rPr>
    </w:sdtEndPr>
    <w:sdtContent>
      <w:p w:rsidR="0056297E" w:rsidRDefault="004D2FFB">
        <w:pPr>
          <w:pStyle w:val="Footer"/>
          <w:jc w:val="right"/>
        </w:pPr>
        <w:r>
          <w:fldChar w:fldCharType="begin"/>
        </w:r>
        <w:r w:rsidR="006959B4">
          <w:instrText xml:space="preserve"> PAGE   \* MERGEFORMAT </w:instrText>
        </w:r>
        <w:r>
          <w:fldChar w:fldCharType="separate"/>
        </w:r>
        <w:r w:rsidR="00F062FF">
          <w:rPr>
            <w:noProof/>
          </w:rPr>
          <w:t>3</w:t>
        </w:r>
        <w:r>
          <w:rPr>
            <w:noProof/>
          </w:rPr>
          <w:fldChar w:fldCharType="end"/>
        </w:r>
      </w:p>
    </w:sdtContent>
  </w:sdt>
  <w:p w:rsidR="0056297E" w:rsidRDefault="005629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153" w:rsidRDefault="00F34153" w:rsidP="00025ADF">
      <w:pPr>
        <w:spacing w:after="0" w:line="240" w:lineRule="auto"/>
      </w:pPr>
      <w:r>
        <w:separator/>
      </w:r>
    </w:p>
  </w:footnote>
  <w:footnote w:type="continuationSeparator" w:id="0">
    <w:p w:rsidR="00F34153" w:rsidRDefault="00F34153" w:rsidP="00025ADF">
      <w:pPr>
        <w:spacing w:after="0" w:line="240" w:lineRule="auto"/>
      </w:pPr>
      <w:r>
        <w:continuationSeparator/>
      </w:r>
    </w:p>
  </w:footnote>
  <w:footnote w:id="1">
    <w:p w:rsidR="0056297E" w:rsidRPr="00F43C46" w:rsidRDefault="0056297E" w:rsidP="00375E57">
      <w:pPr>
        <w:keepNext/>
        <w:keepLines/>
        <w:spacing w:before="240" w:after="0"/>
        <w:jc w:val="both"/>
        <w:outlineLvl w:val="0"/>
        <w:rPr>
          <w:rFonts w:ascii="Times New Roman" w:eastAsiaTheme="majorEastAsia" w:hAnsi="Times New Roman" w:cs="Times New Roman"/>
          <w:i/>
          <w:sz w:val="20"/>
          <w:szCs w:val="20"/>
        </w:rPr>
      </w:pPr>
      <w:r w:rsidRPr="00F43C46">
        <w:rPr>
          <w:rStyle w:val="FootnoteReference"/>
          <w:rFonts w:ascii="Times New Roman" w:hAnsi="Times New Roman" w:cs="Times New Roman"/>
          <w:sz w:val="20"/>
          <w:szCs w:val="20"/>
        </w:rPr>
        <w:footnoteRef/>
      </w:r>
      <w:r w:rsidRPr="00F43C46">
        <w:rPr>
          <w:rFonts w:ascii="Times New Roman" w:hAnsi="Times New Roman" w:cs="Times New Roman"/>
          <w:sz w:val="20"/>
          <w:szCs w:val="20"/>
        </w:rPr>
        <w:t xml:space="preserve"> </w:t>
      </w:r>
      <w:r w:rsidR="00F43C46" w:rsidRPr="00F43C46">
        <w:rPr>
          <w:rFonts w:ascii="Times New Roman" w:hAnsi="Times New Roman" w:cs="Times New Roman"/>
          <w:sz w:val="20"/>
          <w:szCs w:val="20"/>
        </w:rPr>
        <w:t xml:space="preserve">Judge of the Constitutional Court of Bosnia and Herzegovina, full professor at the Faculty of Law of Banja Luka University and full member of the Academy of Sciences and Arts of Bosnia and Herzegovina, </w:t>
      </w:r>
      <w:r w:rsidRPr="00F43C46">
        <w:rPr>
          <w:rFonts w:ascii="Times New Roman" w:eastAsiaTheme="majorEastAsia" w:hAnsi="Times New Roman" w:cs="Times New Roman"/>
          <w:i/>
          <w:sz w:val="20"/>
          <w:szCs w:val="20"/>
        </w:rPr>
        <w:t>miodrag.simovic@ustavnisud.ba</w:t>
      </w:r>
      <w:r w:rsidRPr="00F43C46">
        <w:rPr>
          <w:rFonts w:ascii="Times New Roman" w:eastAsiaTheme="majorEastAsia" w:hAnsi="Times New Roman" w:cs="Times New Roman"/>
          <w:sz w:val="20"/>
          <w:szCs w:val="20"/>
        </w:rPr>
        <w:t>.</w:t>
      </w:r>
      <w:r w:rsidRPr="00F43C46">
        <w:rPr>
          <w:rFonts w:ascii="Times New Roman" w:eastAsiaTheme="majorEastAsia" w:hAnsi="Times New Roman" w:cs="Times New Roman"/>
          <w:i/>
          <w:sz w:val="20"/>
          <w:szCs w:val="20"/>
        </w:rPr>
        <w:t xml:space="preserve"> </w:t>
      </w:r>
    </w:p>
  </w:footnote>
  <w:footnote w:id="2">
    <w:p w:rsidR="0056297E" w:rsidRPr="004966B9" w:rsidRDefault="0056297E" w:rsidP="00375E57">
      <w:pPr>
        <w:pStyle w:val="FootnoteText"/>
      </w:pPr>
      <w:r w:rsidRPr="004966B9">
        <w:rPr>
          <w:rStyle w:val="FootnoteReference"/>
        </w:rPr>
        <w:footnoteRef/>
      </w:r>
      <w:r w:rsidRPr="004966B9">
        <w:t xml:space="preserve">  </w:t>
      </w:r>
      <w:r w:rsidR="00F43C46">
        <w:t>Master of Laws</w:t>
      </w:r>
      <w:r w:rsidRPr="004966B9">
        <w:t xml:space="preserve">, </w:t>
      </w:r>
      <w:r w:rsidR="00F43C46">
        <w:t>senior assistant</w:t>
      </w:r>
      <w:r w:rsidR="00207817">
        <w:t xml:space="preserve">, </w:t>
      </w:r>
      <w:r w:rsidRPr="004966B9">
        <w:rPr>
          <w:i/>
        </w:rPr>
        <w:t>gagula.amna@yahoo.com</w:t>
      </w:r>
      <w:r>
        <w:rPr>
          <w:i/>
        </w:rPr>
        <w:t>.</w:t>
      </w:r>
    </w:p>
  </w:footnote>
  <w:footnote w:id="3">
    <w:p w:rsidR="008D0B8E" w:rsidRPr="00762B73" w:rsidRDefault="008D0B8E" w:rsidP="00D37587">
      <w:pPr>
        <w:pStyle w:val="FootnoteText"/>
        <w:jc w:val="both"/>
        <w:rPr>
          <w:noProof/>
          <w:lang w:val="sr-Latn-CS"/>
        </w:rPr>
      </w:pPr>
      <w:r w:rsidRPr="00B47FD1">
        <w:rPr>
          <w:rStyle w:val="FootnoteReference"/>
        </w:rPr>
        <w:footnoteRef/>
      </w:r>
      <w:r>
        <w:t xml:space="preserve"> </w:t>
      </w:r>
      <w:r w:rsidR="00762B73">
        <w:rPr>
          <w:noProof/>
          <w:lang w:val="sr-Latn-CS"/>
        </w:rPr>
        <w:t>Davor</w:t>
      </w:r>
      <w:r w:rsidRPr="00762B73">
        <w:rPr>
          <w:noProof/>
          <w:lang w:val="sr-Latn-CS"/>
        </w:rPr>
        <w:t xml:space="preserve"> </w:t>
      </w:r>
      <w:r w:rsidR="00762B73">
        <w:rPr>
          <w:noProof/>
          <w:lang w:val="sr-Latn-CS"/>
        </w:rPr>
        <w:t>Krapac</w:t>
      </w:r>
      <w:r w:rsidRPr="00762B73">
        <w:rPr>
          <w:i/>
          <w:noProof/>
          <w:lang w:val="sr-Latn-CS"/>
        </w:rPr>
        <w:t>,</w:t>
      </w:r>
      <w:r w:rsidRPr="00762B73">
        <w:rPr>
          <w:noProof/>
          <w:lang w:val="sr-Latn-CS"/>
        </w:rPr>
        <w:t xml:space="preserve"> </w:t>
      </w:r>
      <w:r w:rsidR="00762B73">
        <w:rPr>
          <w:i/>
          <w:noProof/>
          <w:lang w:val="sr-Latn-CS"/>
        </w:rPr>
        <w:t>Engleski</w:t>
      </w:r>
      <w:r w:rsidRPr="00762B73">
        <w:rPr>
          <w:i/>
          <w:noProof/>
          <w:lang w:val="sr-Latn-CS"/>
        </w:rPr>
        <w:t xml:space="preserve"> </w:t>
      </w:r>
      <w:r w:rsidR="00762B73">
        <w:rPr>
          <w:i/>
          <w:noProof/>
          <w:lang w:val="sr-Latn-CS"/>
        </w:rPr>
        <w:t>kazneni</w:t>
      </w:r>
      <w:r w:rsidRPr="00762B73">
        <w:rPr>
          <w:i/>
          <w:noProof/>
          <w:lang w:val="sr-Latn-CS"/>
        </w:rPr>
        <w:t xml:space="preserve"> </w:t>
      </w:r>
      <w:r w:rsidR="00762B73">
        <w:rPr>
          <w:i/>
          <w:noProof/>
          <w:lang w:val="sr-Latn-CS"/>
        </w:rPr>
        <w:t>postupak</w:t>
      </w:r>
      <w:r w:rsidRPr="00762B73">
        <w:rPr>
          <w:i/>
          <w:noProof/>
          <w:lang w:val="sr-Latn-CS"/>
        </w:rPr>
        <w:t xml:space="preserve"> </w:t>
      </w:r>
      <w:r w:rsidRPr="00762B73">
        <w:rPr>
          <w:noProof/>
          <w:lang w:val="sr-Latn-CS"/>
        </w:rPr>
        <w:t>(</w:t>
      </w:r>
      <w:r w:rsidR="00762B73">
        <w:rPr>
          <w:noProof/>
          <w:lang w:val="sr-Latn-CS"/>
        </w:rPr>
        <w:t>Zagreb</w:t>
      </w:r>
      <w:r w:rsidRPr="00762B73">
        <w:rPr>
          <w:noProof/>
          <w:lang w:val="sr-Latn-CS"/>
        </w:rPr>
        <w:t xml:space="preserve">: </w:t>
      </w:r>
      <w:r w:rsidR="00762B73">
        <w:rPr>
          <w:noProof/>
          <w:lang w:val="sr-Latn-CS"/>
        </w:rPr>
        <w:t>Pravni</w:t>
      </w:r>
      <w:r w:rsidRPr="00762B73">
        <w:rPr>
          <w:noProof/>
          <w:lang w:val="sr-Latn-CS"/>
        </w:rPr>
        <w:t xml:space="preserve"> </w:t>
      </w:r>
      <w:r w:rsidR="00762B73">
        <w:rPr>
          <w:noProof/>
          <w:lang w:val="sr-Latn-CS"/>
        </w:rPr>
        <w:t>fakultet</w:t>
      </w:r>
      <w:r w:rsidRPr="00762B73">
        <w:rPr>
          <w:noProof/>
          <w:lang w:val="sr-Latn-CS"/>
        </w:rPr>
        <w:t>, 1995),</w:t>
      </w:r>
      <w:r w:rsidRPr="00762B73">
        <w:rPr>
          <w:i/>
          <w:noProof/>
          <w:lang w:val="sr-Latn-CS"/>
        </w:rPr>
        <w:t xml:space="preserve"> </w:t>
      </w:r>
      <w:r w:rsidR="00762B73">
        <w:rPr>
          <w:noProof/>
          <w:lang w:val="sr-Latn-CS"/>
        </w:rPr>
        <w:t>predgovor</w:t>
      </w:r>
      <w:r w:rsidRPr="00762B73">
        <w:rPr>
          <w:noProof/>
          <w:lang w:val="sr-Latn-CS"/>
        </w:rPr>
        <w:t xml:space="preserve">. </w:t>
      </w:r>
    </w:p>
  </w:footnote>
  <w:footnote w:id="4">
    <w:p w:rsidR="008D0B8E" w:rsidRPr="00762B73" w:rsidRDefault="008D0B8E" w:rsidP="00D37587">
      <w:pPr>
        <w:pStyle w:val="FootnoteText"/>
        <w:jc w:val="both"/>
        <w:rPr>
          <w:noProof/>
          <w:lang w:val="sr-Latn-CS"/>
        </w:rPr>
      </w:pPr>
      <w:r w:rsidRPr="00762B73">
        <w:rPr>
          <w:rStyle w:val="FootnoteReference"/>
          <w:noProof/>
          <w:lang w:val="sr-Latn-CS"/>
        </w:rPr>
        <w:footnoteRef/>
      </w:r>
      <w:r w:rsidRPr="00762B73">
        <w:rPr>
          <w:noProof/>
          <w:lang w:val="sr-Latn-CS"/>
        </w:rPr>
        <w:t xml:space="preserve"> </w:t>
      </w:r>
      <w:r w:rsidR="00762B73">
        <w:rPr>
          <w:noProof/>
          <w:lang w:val="sr-Latn-CS"/>
        </w:rPr>
        <w:t>See</w:t>
      </w:r>
      <w:r w:rsidRPr="00762B73">
        <w:rPr>
          <w:noProof/>
          <w:lang w:val="sr-Latn-CS"/>
        </w:rPr>
        <w:t xml:space="preserve"> </w:t>
      </w:r>
      <w:r w:rsidR="00762B73">
        <w:rPr>
          <w:rFonts w:cs="Times New Roman"/>
          <w:noProof/>
          <w:shd w:val="clear" w:color="auto" w:fill="FFFFFF"/>
          <w:lang w:val="sr-Latn-CS"/>
        </w:rPr>
        <w:t>Johan</w:t>
      </w:r>
      <w:r w:rsidRPr="00762B73">
        <w:rPr>
          <w:rFonts w:cs="Times New Roman"/>
          <w:noProof/>
          <w:color w:val="666666"/>
          <w:shd w:val="clear" w:color="auto" w:fill="FFFFFF"/>
          <w:lang w:val="sr-Latn-CS"/>
        </w:rPr>
        <w:t xml:space="preserve"> </w:t>
      </w:r>
      <w:r w:rsidR="00762B73">
        <w:rPr>
          <w:noProof/>
          <w:lang w:val="sr-Latn-CS"/>
        </w:rPr>
        <w:t>Ste</w:t>
      </w:r>
      <w:r w:rsidRPr="00762B73">
        <w:rPr>
          <w:noProof/>
          <w:lang w:val="sr-Latn-CS"/>
        </w:rPr>
        <w:t>y</w:t>
      </w:r>
      <w:r w:rsidR="00762B73">
        <w:rPr>
          <w:noProof/>
          <w:lang w:val="sr-Latn-CS"/>
        </w:rPr>
        <w:t>n</w:t>
      </w:r>
      <w:r w:rsidRPr="00762B73">
        <w:rPr>
          <w:noProof/>
          <w:lang w:val="sr-Latn-CS"/>
        </w:rPr>
        <w:t>, „</w:t>
      </w:r>
      <w:r w:rsidR="00762B73">
        <w:rPr>
          <w:noProof/>
          <w:lang w:val="sr-Latn-CS"/>
        </w:rPr>
        <w:t>Does</w:t>
      </w:r>
      <w:r w:rsidRPr="00762B73">
        <w:rPr>
          <w:noProof/>
          <w:lang w:val="sr-Latn-CS"/>
        </w:rPr>
        <w:t xml:space="preserve"> </w:t>
      </w:r>
      <w:r w:rsidR="00762B73">
        <w:rPr>
          <w:noProof/>
          <w:lang w:val="sr-Latn-CS"/>
        </w:rPr>
        <w:t>legal</w:t>
      </w:r>
      <w:r w:rsidRPr="00762B73">
        <w:rPr>
          <w:noProof/>
          <w:lang w:val="sr-Latn-CS"/>
        </w:rPr>
        <w:t xml:space="preserve"> </w:t>
      </w:r>
      <w:r w:rsidR="00762B73">
        <w:rPr>
          <w:noProof/>
          <w:lang w:val="sr-Latn-CS"/>
        </w:rPr>
        <w:t>formalism</w:t>
      </w:r>
      <w:r w:rsidRPr="00762B73">
        <w:rPr>
          <w:noProof/>
          <w:lang w:val="sr-Latn-CS"/>
        </w:rPr>
        <w:t xml:space="preserve"> </w:t>
      </w:r>
      <w:r w:rsidR="00762B73">
        <w:rPr>
          <w:noProof/>
          <w:lang w:val="sr-Latn-CS"/>
        </w:rPr>
        <w:t>hold</w:t>
      </w:r>
      <w:r w:rsidRPr="00762B73">
        <w:rPr>
          <w:noProof/>
          <w:lang w:val="sr-Latn-CS"/>
        </w:rPr>
        <w:t xml:space="preserve"> </w:t>
      </w:r>
      <w:r w:rsidR="00762B73">
        <w:rPr>
          <w:noProof/>
          <w:lang w:val="sr-Latn-CS"/>
        </w:rPr>
        <w:t>s</w:t>
      </w:r>
      <w:r w:rsidRPr="00762B73">
        <w:rPr>
          <w:noProof/>
          <w:lang w:val="sr-Latn-CS"/>
        </w:rPr>
        <w:t>w</w:t>
      </w:r>
      <w:r w:rsidR="00762B73">
        <w:rPr>
          <w:noProof/>
          <w:lang w:val="sr-Latn-CS"/>
        </w:rPr>
        <w:t>a</w:t>
      </w:r>
      <w:r w:rsidRPr="00762B73">
        <w:rPr>
          <w:noProof/>
          <w:lang w:val="sr-Latn-CS"/>
        </w:rPr>
        <w:t>y</w:t>
      </w:r>
      <w:r w:rsidR="00762B73">
        <w:rPr>
          <w:noProof/>
          <w:lang w:val="sr-Latn-CS"/>
        </w:rPr>
        <w:t>n</w:t>
      </w:r>
      <w:r w:rsidRPr="00762B73">
        <w:rPr>
          <w:noProof/>
          <w:lang w:val="sr-Latn-CS"/>
        </w:rPr>
        <w:t xml:space="preserve"> </w:t>
      </w:r>
      <w:r w:rsidR="00762B73">
        <w:rPr>
          <w:noProof/>
          <w:lang w:val="sr-Latn-CS"/>
        </w:rPr>
        <w:t>in</w:t>
      </w:r>
      <w:r w:rsidRPr="00762B73">
        <w:rPr>
          <w:noProof/>
          <w:lang w:val="sr-Latn-CS"/>
        </w:rPr>
        <w:t xml:space="preserve"> </w:t>
      </w:r>
      <w:r w:rsidR="00762B73">
        <w:rPr>
          <w:noProof/>
          <w:lang w:val="sr-Latn-CS"/>
        </w:rPr>
        <w:t>England</w:t>
      </w:r>
      <w:r w:rsidRPr="00762B73">
        <w:rPr>
          <w:noProof/>
          <w:lang w:val="sr-Latn-CS"/>
        </w:rPr>
        <w:t xml:space="preserve">?“, </w:t>
      </w:r>
      <w:r w:rsidR="00762B73">
        <w:rPr>
          <w:i/>
          <w:noProof/>
          <w:lang w:val="sr-Latn-CS"/>
        </w:rPr>
        <w:t>Current</w:t>
      </w:r>
      <w:r w:rsidRPr="00762B73">
        <w:rPr>
          <w:i/>
          <w:noProof/>
          <w:lang w:val="sr-Latn-CS"/>
        </w:rPr>
        <w:t xml:space="preserve"> </w:t>
      </w:r>
      <w:r w:rsidR="00762B73">
        <w:rPr>
          <w:i/>
          <w:noProof/>
          <w:lang w:val="sr-Latn-CS"/>
        </w:rPr>
        <w:t>Legal</w:t>
      </w:r>
      <w:r w:rsidRPr="00762B73">
        <w:rPr>
          <w:i/>
          <w:noProof/>
          <w:lang w:val="sr-Latn-CS"/>
        </w:rPr>
        <w:t xml:space="preserve"> </w:t>
      </w:r>
      <w:r w:rsidR="00762B73">
        <w:rPr>
          <w:i/>
          <w:noProof/>
          <w:lang w:val="sr-Latn-CS"/>
        </w:rPr>
        <w:t>Problems</w:t>
      </w:r>
      <w:r w:rsidRPr="00762B73">
        <w:rPr>
          <w:noProof/>
          <w:lang w:val="sr-Latn-CS"/>
        </w:rPr>
        <w:t xml:space="preserve">, </w:t>
      </w:r>
      <w:r w:rsidR="00762B73">
        <w:rPr>
          <w:noProof/>
          <w:lang w:val="sr-Latn-CS"/>
        </w:rPr>
        <w:t>Volume</w:t>
      </w:r>
      <w:r w:rsidRPr="00762B73">
        <w:rPr>
          <w:noProof/>
          <w:lang w:val="sr-Latn-CS"/>
        </w:rPr>
        <w:t xml:space="preserve"> 49, </w:t>
      </w:r>
      <w:r w:rsidR="00762B73">
        <w:rPr>
          <w:noProof/>
          <w:lang w:val="sr-Latn-CS"/>
        </w:rPr>
        <w:t>Issue</w:t>
      </w:r>
      <w:r w:rsidRPr="00762B73">
        <w:rPr>
          <w:noProof/>
          <w:lang w:val="sr-Latn-CS"/>
        </w:rPr>
        <w:t xml:space="preserve"> 1, </w:t>
      </w:r>
      <w:r w:rsidR="00762B73">
        <w:rPr>
          <w:noProof/>
          <w:lang w:val="sr-Latn-CS"/>
        </w:rPr>
        <w:t>O</w:t>
      </w:r>
      <w:r w:rsidRPr="00762B73">
        <w:rPr>
          <w:noProof/>
          <w:lang w:val="sr-Latn-CS"/>
        </w:rPr>
        <w:t>x</w:t>
      </w:r>
      <w:r w:rsidR="00762B73">
        <w:rPr>
          <w:noProof/>
          <w:lang w:val="sr-Latn-CS"/>
        </w:rPr>
        <w:t>ford</w:t>
      </w:r>
      <w:r w:rsidRPr="00762B73">
        <w:rPr>
          <w:noProof/>
          <w:lang w:val="sr-Latn-CS"/>
        </w:rPr>
        <w:t xml:space="preserve"> </w:t>
      </w:r>
      <w:r w:rsidR="00762B73">
        <w:rPr>
          <w:noProof/>
          <w:lang w:val="sr-Latn-CS"/>
        </w:rPr>
        <w:t>Academic</w:t>
      </w:r>
      <w:r w:rsidRPr="00762B73">
        <w:rPr>
          <w:noProof/>
          <w:lang w:val="sr-Latn-CS"/>
        </w:rPr>
        <w:t xml:space="preserve">, (1996), 43–58; </w:t>
      </w:r>
      <w:r w:rsidR="00762B73">
        <w:rPr>
          <w:rFonts w:cs="Times New Roman"/>
          <w:noProof/>
          <w:shd w:val="clear" w:color="auto" w:fill="FFFFFF"/>
          <w:lang w:val="sr-Latn-CS"/>
        </w:rPr>
        <w:t>Brian</w:t>
      </w:r>
      <w:r w:rsidRPr="00762B73">
        <w:rPr>
          <w:rFonts w:cs="Times New Roman"/>
          <w:noProof/>
          <w:lang w:val="sr-Latn-CS"/>
        </w:rPr>
        <w:t xml:space="preserve"> </w:t>
      </w:r>
      <w:r w:rsidR="00762B73">
        <w:rPr>
          <w:noProof/>
          <w:lang w:val="sr-Latn-CS"/>
        </w:rPr>
        <w:t>Leiter</w:t>
      </w:r>
      <w:r w:rsidRPr="00762B73">
        <w:rPr>
          <w:noProof/>
          <w:lang w:val="sr-Latn-CS"/>
        </w:rPr>
        <w:t>, „</w:t>
      </w:r>
      <w:r w:rsidR="00762B73">
        <w:rPr>
          <w:noProof/>
          <w:lang w:val="sr-Latn-CS"/>
        </w:rPr>
        <w:t>Legal</w:t>
      </w:r>
      <w:r w:rsidRPr="00762B73">
        <w:rPr>
          <w:noProof/>
          <w:lang w:val="sr-Latn-CS"/>
        </w:rPr>
        <w:t xml:space="preserve"> </w:t>
      </w:r>
      <w:r w:rsidR="00762B73">
        <w:rPr>
          <w:noProof/>
          <w:lang w:val="sr-Latn-CS"/>
        </w:rPr>
        <w:t>formalism</w:t>
      </w:r>
      <w:r w:rsidRPr="00762B73">
        <w:rPr>
          <w:noProof/>
          <w:lang w:val="sr-Latn-CS"/>
        </w:rPr>
        <w:t xml:space="preserve"> </w:t>
      </w:r>
      <w:r w:rsidR="00762B73">
        <w:rPr>
          <w:noProof/>
          <w:lang w:val="sr-Latn-CS"/>
        </w:rPr>
        <w:t>and</w:t>
      </w:r>
      <w:r w:rsidRPr="00762B73">
        <w:rPr>
          <w:noProof/>
          <w:lang w:val="sr-Latn-CS"/>
        </w:rPr>
        <w:t xml:space="preserve"> </w:t>
      </w:r>
      <w:r w:rsidR="00762B73">
        <w:rPr>
          <w:noProof/>
          <w:lang w:val="sr-Latn-CS"/>
        </w:rPr>
        <w:t>legal</w:t>
      </w:r>
      <w:r w:rsidRPr="00762B73">
        <w:rPr>
          <w:noProof/>
          <w:lang w:val="sr-Latn-CS"/>
        </w:rPr>
        <w:t xml:space="preserve"> </w:t>
      </w:r>
      <w:r w:rsidR="00762B73">
        <w:rPr>
          <w:noProof/>
          <w:lang w:val="sr-Latn-CS"/>
        </w:rPr>
        <w:t>realism</w:t>
      </w:r>
      <w:r w:rsidRPr="00762B73">
        <w:rPr>
          <w:noProof/>
          <w:lang w:val="sr-Latn-CS"/>
        </w:rPr>
        <w:t>: w</w:t>
      </w:r>
      <w:r w:rsidR="00762B73">
        <w:rPr>
          <w:noProof/>
          <w:lang w:val="sr-Latn-CS"/>
        </w:rPr>
        <w:t>hat</w:t>
      </w:r>
      <w:r w:rsidRPr="00762B73">
        <w:rPr>
          <w:noProof/>
          <w:lang w:val="sr-Latn-CS"/>
        </w:rPr>
        <w:t xml:space="preserve"> </w:t>
      </w:r>
      <w:r w:rsidR="00762B73">
        <w:rPr>
          <w:noProof/>
          <w:lang w:val="sr-Latn-CS"/>
        </w:rPr>
        <w:t>is</w:t>
      </w:r>
      <w:r w:rsidRPr="00762B73">
        <w:rPr>
          <w:noProof/>
          <w:lang w:val="sr-Latn-CS"/>
        </w:rPr>
        <w:t xml:space="preserve"> </w:t>
      </w:r>
      <w:r w:rsidR="00762B73">
        <w:rPr>
          <w:noProof/>
          <w:lang w:val="sr-Latn-CS"/>
        </w:rPr>
        <w:t>the</w:t>
      </w:r>
      <w:r w:rsidRPr="00762B73">
        <w:rPr>
          <w:noProof/>
          <w:lang w:val="sr-Latn-CS"/>
        </w:rPr>
        <w:t xml:space="preserve"> </w:t>
      </w:r>
      <w:r w:rsidR="00762B73">
        <w:rPr>
          <w:noProof/>
          <w:lang w:val="sr-Latn-CS"/>
        </w:rPr>
        <w:t>issue</w:t>
      </w:r>
      <w:r w:rsidRPr="00762B73">
        <w:rPr>
          <w:noProof/>
          <w:lang w:val="sr-Latn-CS"/>
        </w:rPr>
        <w:t>?“,</w:t>
      </w:r>
      <w:r w:rsidRPr="00762B73">
        <w:rPr>
          <w:i/>
          <w:noProof/>
          <w:lang w:val="sr-Latn-CS"/>
        </w:rPr>
        <w:t xml:space="preserve"> </w:t>
      </w:r>
      <w:r w:rsidR="00762B73">
        <w:rPr>
          <w:i/>
          <w:noProof/>
          <w:lang w:val="sr-Latn-CS"/>
        </w:rPr>
        <w:t>Cambridge</w:t>
      </w:r>
      <w:r w:rsidRPr="00762B73">
        <w:rPr>
          <w:i/>
          <w:noProof/>
          <w:lang w:val="sr-Latn-CS"/>
        </w:rPr>
        <w:t xml:space="preserve"> </w:t>
      </w:r>
      <w:r w:rsidR="00762B73">
        <w:rPr>
          <w:i/>
          <w:noProof/>
          <w:lang w:val="sr-Latn-CS"/>
        </w:rPr>
        <w:t>Universit</w:t>
      </w:r>
      <w:r w:rsidRPr="00762B73">
        <w:rPr>
          <w:i/>
          <w:noProof/>
          <w:lang w:val="sr-Latn-CS"/>
        </w:rPr>
        <w:t xml:space="preserve">y </w:t>
      </w:r>
      <w:r w:rsidR="00762B73">
        <w:rPr>
          <w:i/>
          <w:noProof/>
          <w:lang w:val="sr-Latn-CS"/>
        </w:rPr>
        <w:t>Press</w:t>
      </w:r>
      <w:r w:rsidRPr="00762B73">
        <w:rPr>
          <w:noProof/>
          <w:lang w:val="sr-Latn-CS"/>
        </w:rPr>
        <w:t xml:space="preserve">, </w:t>
      </w:r>
      <w:r w:rsidR="00762B73">
        <w:rPr>
          <w:noProof/>
          <w:lang w:val="sr-Latn-CS"/>
        </w:rPr>
        <w:t>Volume</w:t>
      </w:r>
      <w:r w:rsidRPr="00762B73">
        <w:rPr>
          <w:noProof/>
          <w:lang w:val="sr-Latn-CS"/>
        </w:rPr>
        <w:t xml:space="preserve"> 16, </w:t>
      </w:r>
      <w:r w:rsidR="00762B73">
        <w:rPr>
          <w:noProof/>
          <w:lang w:val="sr-Latn-CS"/>
        </w:rPr>
        <w:t>Issue</w:t>
      </w:r>
      <w:r w:rsidRPr="00762B73">
        <w:rPr>
          <w:noProof/>
          <w:lang w:val="sr-Latn-CS"/>
        </w:rPr>
        <w:t xml:space="preserve"> 2, (2010), 111-133.</w:t>
      </w:r>
    </w:p>
  </w:footnote>
  <w:footnote w:id="5">
    <w:p w:rsidR="008D0B8E" w:rsidRPr="00762B73" w:rsidRDefault="008D0B8E" w:rsidP="00D37587">
      <w:pPr>
        <w:pStyle w:val="FootnoteText"/>
        <w:jc w:val="both"/>
        <w:rPr>
          <w:noProof/>
          <w:lang w:val="sr-Latn-CS"/>
        </w:rPr>
      </w:pPr>
      <w:r w:rsidRPr="00762B73">
        <w:rPr>
          <w:rStyle w:val="FootnoteReference"/>
          <w:noProof/>
          <w:lang w:val="sr-Latn-CS"/>
        </w:rPr>
        <w:footnoteRef/>
      </w:r>
      <w:r w:rsidRPr="00762B73">
        <w:rPr>
          <w:noProof/>
          <w:lang w:val="sr-Latn-CS"/>
        </w:rPr>
        <w:t xml:space="preserve"> </w:t>
      </w:r>
      <w:r w:rsidR="00762B73">
        <w:rPr>
          <w:noProof/>
          <w:lang w:val="sr-Latn-CS"/>
        </w:rPr>
        <w:t>See</w:t>
      </w:r>
      <w:r w:rsidRPr="00762B73">
        <w:rPr>
          <w:rFonts w:cs="Times New Roman"/>
          <w:noProof/>
          <w:lang w:val="sr-Latn-CS"/>
        </w:rPr>
        <w:t xml:space="preserve"> </w:t>
      </w:r>
      <w:r w:rsidR="00762B73">
        <w:rPr>
          <w:rFonts w:cs="Times New Roman"/>
          <w:noProof/>
          <w:shd w:val="clear" w:color="auto" w:fill="FFFFFF"/>
          <w:lang w:val="sr-Latn-CS"/>
        </w:rPr>
        <w:t>Jerem</w:t>
      </w:r>
      <w:r w:rsidRPr="00762B73">
        <w:rPr>
          <w:rFonts w:cs="Times New Roman"/>
          <w:noProof/>
          <w:shd w:val="clear" w:color="auto" w:fill="FFFFFF"/>
          <w:lang w:val="sr-Latn-CS"/>
        </w:rPr>
        <w:t>y</w:t>
      </w:r>
      <w:r w:rsidRPr="00762B73">
        <w:rPr>
          <w:rFonts w:ascii="Arial" w:hAnsi="Arial" w:cs="Arial"/>
          <w:noProof/>
          <w:color w:val="666666"/>
          <w:shd w:val="clear" w:color="auto" w:fill="FFFFFF"/>
          <w:lang w:val="sr-Latn-CS"/>
        </w:rPr>
        <w:t xml:space="preserve"> </w:t>
      </w:r>
      <w:r w:rsidR="00762B73">
        <w:rPr>
          <w:noProof/>
          <w:lang w:val="sr-Latn-CS"/>
        </w:rPr>
        <w:t>Horder</w:t>
      </w:r>
      <w:r w:rsidRPr="00762B73">
        <w:rPr>
          <w:noProof/>
          <w:lang w:val="sr-Latn-CS"/>
        </w:rPr>
        <w:t>, „</w:t>
      </w:r>
      <w:r w:rsidR="00762B73">
        <w:rPr>
          <w:noProof/>
          <w:lang w:val="sr-Latn-CS"/>
        </w:rPr>
        <w:t>Criminal</w:t>
      </w:r>
      <w:r w:rsidRPr="00762B73">
        <w:rPr>
          <w:noProof/>
          <w:lang w:val="sr-Latn-CS"/>
        </w:rPr>
        <w:t xml:space="preserve"> </w:t>
      </w:r>
      <w:r w:rsidR="00762B73">
        <w:rPr>
          <w:noProof/>
          <w:lang w:val="sr-Latn-CS"/>
        </w:rPr>
        <w:t>la</w:t>
      </w:r>
      <w:r w:rsidRPr="00762B73">
        <w:rPr>
          <w:noProof/>
          <w:lang w:val="sr-Latn-CS"/>
        </w:rPr>
        <w:t xml:space="preserve">w </w:t>
      </w:r>
      <w:r w:rsidR="00762B73">
        <w:rPr>
          <w:noProof/>
          <w:lang w:val="sr-Latn-CS"/>
        </w:rPr>
        <w:t>bet</w:t>
      </w:r>
      <w:r w:rsidRPr="00762B73">
        <w:rPr>
          <w:noProof/>
          <w:lang w:val="sr-Latn-CS"/>
        </w:rPr>
        <w:t>w</w:t>
      </w:r>
      <w:r w:rsidR="00762B73">
        <w:rPr>
          <w:noProof/>
          <w:lang w:val="sr-Latn-CS"/>
        </w:rPr>
        <w:t>een</w:t>
      </w:r>
      <w:r w:rsidRPr="00762B73">
        <w:rPr>
          <w:noProof/>
          <w:lang w:val="sr-Latn-CS"/>
        </w:rPr>
        <w:t xml:space="preserve"> </w:t>
      </w:r>
      <w:r w:rsidR="00762B73">
        <w:rPr>
          <w:noProof/>
          <w:lang w:val="sr-Latn-CS"/>
        </w:rPr>
        <w:t>determinism</w:t>
      </w:r>
      <w:r w:rsidRPr="00762B73">
        <w:rPr>
          <w:noProof/>
          <w:lang w:val="sr-Latn-CS"/>
        </w:rPr>
        <w:t xml:space="preserve">, </w:t>
      </w:r>
      <w:r w:rsidR="00762B73">
        <w:rPr>
          <w:noProof/>
          <w:lang w:val="sr-Latn-CS"/>
        </w:rPr>
        <w:t>liberalism</w:t>
      </w:r>
      <w:r w:rsidRPr="00762B73">
        <w:rPr>
          <w:noProof/>
          <w:lang w:val="sr-Latn-CS"/>
        </w:rPr>
        <w:t xml:space="preserve"> </w:t>
      </w:r>
      <w:r w:rsidR="00762B73">
        <w:rPr>
          <w:noProof/>
          <w:lang w:val="sr-Latn-CS"/>
        </w:rPr>
        <w:t>and</w:t>
      </w:r>
      <w:r w:rsidRPr="00762B73">
        <w:rPr>
          <w:noProof/>
          <w:lang w:val="sr-Latn-CS"/>
        </w:rPr>
        <w:t xml:space="preserve"> </w:t>
      </w:r>
      <w:r w:rsidR="00762B73">
        <w:rPr>
          <w:noProof/>
          <w:lang w:val="sr-Latn-CS"/>
        </w:rPr>
        <w:t>criminal</w:t>
      </w:r>
      <w:r w:rsidRPr="00762B73">
        <w:rPr>
          <w:noProof/>
          <w:lang w:val="sr-Latn-CS"/>
        </w:rPr>
        <w:t xml:space="preserve"> </w:t>
      </w:r>
      <w:r w:rsidR="00762B73">
        <w:rPr>
          <w:noProof/>
          <w:lang w:val="sr-Latn-CS"/>
        </w:rPr>
        <w:t>justice</w:t>
      </w:r>
      <w:r w:rsidRPr="00762B73">
        <w:rPr>
          <w:noProof/>
          <w:lang w:val="sr-Latn-CS"/>
        </w:rPr>
        <w:t xml:space="preserve">“, </w:t>
      </w:r>
      <w:r w:rsidR="00762B73">
        <w:rPr>
          <w:i/>
          <w:noProof/>
          <w:lang w:val="sr-Latn-CS"/>
        </w:rPr>
        <w:t>Current</w:t>
      </w:r>
      <w:r w:rsidRPr="00762B73">
        <w:rPr>
          <w:i/>
          <w:noProof/>
          <w:lang w:val="sr-Latn-CS"/>
        </w:rPr>
        <w:t xml:space="preserve"> </w:t>
      </w:r>
      <w:r w:rsidR="00762B73">
        <w:rPr>
          <w:i/>
          <w:noProof/>
          <w:lang w:val="sr-Latn-CS"/>
        </w:rPr>
        <w:t>Legal</w:t>
      </w:r>
      <w:r w:rsidRPr="00762B73">
        <w:rPr>
          <w:i/>
          <w:noProof/>
          <w:lang w:val="sr-Latn-CS"/>
        </w:rPr>
        <w:t xml:space="preserve"> </w:t>
      </w:r>
      <w:r w:rsidR="00762B73">
        <w:rPr>
          <w:i/>
          <w:noProof/>
          <w:lang w:val="sr-Latn-CS"/>
        </w:rPr>
        <w:t>Problems</w:t>
      </w:r>
      <w:r w:rsidRPr="00762B73">
        <w:rPr>
          <w:noProof/>
          <w:lang w:val="sr-Latn-CS"/>
        </w:rPr>
        <w:t xml:space="preserve">, </w:t>
      </w:r>
      <w:r w:rsidR="00762B73">
        <w:rPr>
          <w:noProof/>
          <w:lang w:val="sr-Latn-CS"/>
        </w:rPr>
        <w:t>Volume</w:t>
      </w:r>
      <w:r w:rsidRPr="00762B73">
        <w:rPr>
          <w:noProof/>
          <w:lang w:val="sr-Latn-CS"/>
        </w:rPr>
        <w:t xml:space="preserve"> 49, </w:t>
      </w:r>
      <w:r w:rsidR="00762B73">
        <w:rPr>
          <w:noProof/>
          <w:lang w:val="sr-Latn-CS"/>
        </w:rPr>
        <w:t>Issue</w:t>
      </w:r>
      <w:r w:rsidRPr="00762B73">
        <w:rPr>
          <w:noProof/>
          <w:lang w:val="sr-Latn-CS"/>
        </w:rPr>
        <w:t xml:space="preserve"> 1, </w:t>
      </w:r>
      <w:r w:rsidR="00762B73">
        <w:rPr>
          <w:noProof/>
          <w:lang w:val="sr-Latn-CS"/>
        </w:rPr>
        <w:t>O</w:t>
      </w:r>
      <w:r w:rsidRPr="00762B73">
        <w:rPr>
          <w:noProof/>
          <w:lang w:val="sr-Latn-CS"/>
        </w:rPr>
        <w:t>x</w:t>
      </w:r>
      <w:r w:rsidR="00762B73">
        <w:rPr>
          <w:noProof/>
          <w:lang w:val="sr-Latn-CS"/>
        </w:rPr>
        <w:t>ford</w:t>
      </w:r>
      <w:r w:rsidRPr="00762B73">
        <w:rPr>
          <w:noProof/>
          <w:lang w:val="sr-Latn-CS"/>
        </w:rPr>
        <w:t xml:space="preserve"> </w:t>
      </w:r>
      <w:r w:rsidR="00762B73">
        <w:rPr>
          <w:noProof/>
          <w:lang w:val="sr-Latn-CS"/>
        </w:rPr>
        <w:t>Academic</w:t>
      </w:r>
      <w:r w:rsidRPr="00762B73">
        <w:rPr>
          <w:noProof/>
          <w:lang w:val="sr-Latn-CS"/>
        </w:rPr>
        <w:t xml:space="preserve"> (1996), 159–186.</w:t>
      </w:r>
    </w:p>
  </w:footnote>
  <w:footnote w:id="6">
    <w:p w:rsidR="008D0B8E" w:rsidRPr="00762B73" w:rsidRDefault="008D0B8E" w:rsidP="00D37587">
      <w:pPr>
        <w:pStyle w:val="FootnoteText"/>
        <w:jc w:val="both"/>
        <w:rPr>
          <w:noProof/>
          <w:lang w:val="sr-Latn-CS"/>
        </w:rPr>
      </w:pPr>
      <w:r w:rsidRPr="00762B73">
        <w:rPr>
          <w:rStyle w:val="FootnoteReference"/>
          <w:noProof/>
          <w:lang w:val="sr-Latn-CS"/>
        </w:rPr>
        <w:footnoteRef/>
      </w:r>
      <w:r w:rsidRPr="00762B73">
        <w:rPr>
          <w:noProof/>
          <w:lang w:val="sr-Latn-CS"/>
        </w:rPr>
        <w:t xml:space="preserve"> </w:t>
      </w:r>
      <w:r w:rsidR="00762B73">
        <w:rPr>
          <w:noProof/>
          <w:lang w:val="sr-Latn-CS"/>
        </w:rPr>
        <w:t>See</w:t>
      </w:r>
      <w:r w:rsidRPr="00762B73">
        <w:rPr>
          <w:noProof/>
          <w:lang w:val="sr-Latn-CS"/>
        </w:rPr>
        <w:t xml:space="preserve"> </w:t>
      </w:r>
      <w:r w:rsidR="00762B73">
        <w:rPr>
          <w:rFonts w:cs="Times New Roman"/>
          <w:noProof/>
          <w:shd w:val="clear" w:color="auto" w:fill="FFFFFF"/>
          <w:lang w:val="sr-Latn-CS"/>
        </w:rPr>
        <w:t>George</w:t>
      </w:r>
      <w:r w:rsidRPr="00762B73">
        <w:rPr>
          <w:rFonts w:cs="Times New Roman"/>
          <w:noProof/>
          <w:lang w:val="sr-Latn-CS"/>
        </w:rPr>
        <w:t xml:space="preserve"> </w:t>
      </w:r>
      <w:r w:rsidR="00762B73">
        <w:rPr>
          <w:noProof/>
          <w:lang w:val="sr-Latn-CS"/>
        </w:rPr>
        <w:t>Mousourakis</w:t>
      </w:r>
      <w:r w:rsidRPr="00762B73">
        <w:rPr>
          <w:noProof/>
          <w:lang w:val="sr-Latn-CS"/>
        </w:rPr>
        <w:t>, „</w:t>
      </w:r>
      <w:r w:rsidR="00762B73">
        <w:rPr>
          <w:noProof/>
          <w:lang w:val="sr-Latn-CS"/>
        </w:rPr>
        <w:t>The</w:t>
      </w:r>
      <w:r w:rsidRPr="00762B73">
        <w:rPr>
          <w:noProof/>
          <w:lang w:val="sr-Latn-CS"/>
        </w:rPr>
        <w:t xml:space="preserve"> </w:t>
      </w:r>
      <w:r w:rsidR="00762B73">
        <w:rPr>
          <w:noProof/>
          <w:lang w:val="sr-Latn-CS"/>
        </w:rPr>
        <w:t>Survival</w:t>
      </w:r>
      <w:r w:rsidRPr="00762B73">
        <w:rPr>
          <w:noProof/>
          <w:lang w:val="sr-Latn-CS"/>
        </w:rPr>
        <w:t xml:space="preserve"> </w:t>
      </w:r>
      <w:r w:rsidR="00762B73">
        <w:rPr>
          <w:noProof/>
          <w:lang w:val="sr-Latn-CS"/>
        </w:rPr>
        <w:t>and</w:t>
      </w:r>
      <w:r w:rsidRPr="00762B73">
        <w:rPr>
          <w:noProof/>
          <w:lang w:val="sr-Latn-CS"/>
        </w:rPr>
        <w:t xml:space="preserve"> </w:t>
      </w:r>
      <w:r w:rsidR="00762B73">
        <w:rPr>
          <w:noProof/>
          <w:lang w:val="sr-Latn-CS"/>
        </w:rPr>
        <w:t>Resurgence</w:t>
      </w:r>
      <w:r w:rsidRPr="00762B73">
        <w:rPr>
          <w:noProof/>
          <w:lang w:val="sr-Latn-CS"/>
        </w:rPr>
        <w:t xml:space="preserve"> </w:t>
      </w:r>
      <w:r w:rsidR="00762B73">
        <w:rPr>
          <w:noProof/>
          <w:lang w:val="sr-Latn-CS"/>
        </w:rPr>
        <w:t>of</w:t>
      </w:r>
      <w:r w:rsidRPr="00762B73">
        <w:rPr>
          <w:noProof/>
          <w:lang w:val="sr-Latn-CS"/>
        </w:rPr>
        <w:t xml:space="preserve"> </w:t>
      </w:r>
      <w:r w:rsidR="00762B73">
        <w:rPr>
          <w:noProof/>
          <w:lang w:val="sr-Latn-CS"/>
        </w:rPr>
        <w:t>Roman</w:t>
      </w:r>
      <w:r w:rsidRPr="00762B73">
        <w:rPr>
          <w:noProof/>
          <w:lang w:val="sr-Latn-CS"/>
        </w:rPr>
        <w:t xml:space="preserve"> </w:t>
      </w:r>
      <w:r w:rsidR="00762B73">
        <w:rPr>
          <w:noProof/>
          <w:lang w:val="sr-Latn-CS"/>
        </w:rPr>
        <w:t>La</w:t>
      </w:r>
      <w:r w:rsidRPr="00762B73">
        <w:rPr>
          <w:noProof/>
          <w:lang w:val="sr-Latn-CS"/>
        </w:rPr>
        <w:t xml:space="preserve">w </w:t>
      </w:r>
      <w:r w:rsidR="00762B73">
        <w:rPr>
          <w:noProof/>
          <w:lang w:val="sr-Latn-CS"/>
        </w:rPr>
        <w:t>in</w:t>
      </w:r>
      <w:r w:rsidRPr="00762B73">
        <w:rPr>
          <w:noProof/>
          <w:lang w:val="sr-Latn-CS"/>
        </w:rPr>
        <w:t xml:space="preserve"> W</w:t>
      </w:r>
      <w:r w:rsidR="00762B73">
        <w:rPr>
          <w:noProof/>
          <w:lang w:val="sr-Latn-CS"/>
        </w:rPr>
        <w:t>estern</w:t>
      </w:r>
      <w:r w:rsidRPr="00762B73">
        <w:rPr>
          <w:noProof/>
          <w:lang w:val="sr-Latn-CS"/>
        </w:rPr>
        <w:t xml:space="preserve"> </w:t>
      </w:r>
      <w:r w:rsidR="00762B73">
        <w:rPr>
          <w:noProof/>
          <w:lang w:val="sr-Latn-CS"/>
        </w:rPr>
        <w:t>Europe</w:t>
      </w:r>
      <w:r w:rsidRPr="00762B73">
        <w:rPr>
          <w:noProof/>
          <w:lang w:val="sr-Latn-CS"/>
        </w:rPr>
        <w:t xml:space="preserve">“, </w:t>
      </w:r>
      <w:r w:rsidR="00762B73">
        <w:rPr>
          <w:noProof/>
          <w:lang w:val="sr-Latn-CS"/>
        </w:rPr>
        <w:t>chap</w:t>
      </w:r>
      <w:r w:rsidRPr="00762B73">
        <w:rPr>
          <w:noProof/>
          <w:lang w:val="sr-Latn-CS"/>
        </w:rPr>
        <w:t xml:space="preserve">. 7 </w:t>
      </w:r>
      <w:r w:rsidR="00762B73">
        <w:rPr>
          <w:noProof/>
          <w:lang w:val="sr-Latn-CS"/>
        </w:rPr>
        <w:t>of</w:t>
      </w:r>
      <w:r w:rsidRPr="00762B73">
        <w:rPr>
          <w:noProof/>
          <w:lang w:val="sr-Latn-CS"/>
        </w:rPr>
        <w:t xml:space="preserve"> </w:t>
      </w:r>
      <w:r w:rsidR="00762B73">
        <w:rPr>
          <w:i/>
          <w:noProof/>
          <w:lang w:val="sr-Latn-CS"/>
        </w:rPr>
        <w:t>Roman</w:t>
      </w:r>
      <w:r w:rsidRPr="00762B73">
        <w:rPr>
          <w:i/>
          <w:noProof/>
          <w:lang w:val="sr-Latn-CS"/>
        </w:rPr>
        <w:t xml:space="preserve"> </w:t>
      </w:r>
      <w:r w:rsidR="00762B73">
        <w:rPr>
          <w:i/>
          <w:noProof/>
          <w:lang w:val="sr-Latn-CS"/>
        </w:rPr>
        <w:t>La</w:t>
      </w:r>
      <w:r w:rsidRPr="00762B73">
        <w:rPr>
          <w:i/>
          <w:noProof/>
          <w:lang w:val="sr-Latn-CS"/>
        </w:rPr>
        <w:t xml:space="preserve">w </w:t>
      </w:r>
      <w:r w:rsidR="00762B73">
        <w:rPr>
          <w:i/>
          <w:noProof/>
          <w:lang w:val="sr-Latn-CS"/>
        </w:rPr>
        <w:t>and</w:t>
      </w:r>
      <w:r w:rsidRPr="00762B73">
        <w:rPr>
          <w:i/>
          <w:noProof/>
          <w:lang w:val="sr-Latn-CS"/>
        </w:rPr>
        <w:t xml:space="preserve"> </w:t>
      </w:r>
      <w:r w:rsidR="00762B73">
        <w:rPr>
          <w:i/>
          <w:noProof/>
          <w:lang w:val="sr-Latn-CS"/>
        </w:rPr>
        <w:t>the</w:t>
      </w:r>
      <w:r w:rsidRPr="00762B73">
        <w:rPr>
          <w:i/>
          <w:noProof/>
          <w:lang w:val="sr-Latn-CS"/>
        </w:rPr>
        <w:t xml:space="preserve"> </w:t>
      </w:r>
      <w:r w:rsidR="00762B73">
        <w:rPr>
          <w:i/>
          <w:noProof/>
          <w:lang w:val="sr-Latn-CS"/>
        </w:rPr>
        <w:t>Origins</w:t>
      </w:r>
      <w:r w:rsidRPr="00762B73">
        <w:rPr>
          <w:i/>
          <w:noProof/>
          <w:lang w:val="sr-Latn-CS"/>
        </w:rPr>
        <w:t xml:space="preserve"> </w:t>
      </w:r>
      <w:r w:rsidR="00762B73">
        <w:rPr>
          <w:i/>
          <w:noProof/>
          <w:lang w:val="sr-Latn-CS"/>
        </w:rPr>
        <w:t>of</w:t>
      </w:r>
      <w:r w:rsidRPr="00762B73">
        <w:rPr>
          <w:i/>
          <w:noProof/>
          <w:lang w:val="sr-Latn-CS"/>
        </w:rPr>
        <w:t xml:space="preserve"> </w:t>
      </w:r>
      <w:r w:rsidR="00762B73">
        <w:rPr>
          <w:i/>
          <w:noProof/>
          <w:lang w:val="sr-Latn-CS"/>
        </w:rPr>
        <w:t>the</w:t>
      </w:r>
      <w:r w:rsidRPr="00762B73">
        <w:rPr>
          <w:i/>
          <w:noProof/>
          <w:lang w:val="sr-Latn-CS"/>
        </w:rPr>
        <w:t xml:space="preserve"> </w:t>
      </w:r>
      <w:r w:rsidR="00762B73">
        <w:rPr>
          <w:i/>
          <w:noProof/>
          <w:lang w:val="sr-Latn-CS"/>
        </w:rPr>
        <w:t>Civil</w:t>
      </w:r>
      <w:r w:rsidRPr="00762B73">
        <w:rPr>
          <w:i/>
          <w:noProof/>
          <w:lang w:val="sr-Latn-CS"/>
        </w:rPr>
        <w:t xml:space="preserve"> </w:t>
      </w:r>
      <w:r w:rsidR="00762B73">
        <w:rPr>
          <w:i/>
          <w:noProof/>
          <w:lang w:val="sr-Latn-CS"/>
        </w:rPr>
        <w:t>La</w:t>
      </w:r>
      <w:r w:rsidRPr="00762B73">
        <w:rPr>
          <w:i/>
          <w:noProof/>
          <w:lang w:val="sr-Latn-CS"/>
        </w:rPr>
        <w:t xml:space="preserve">w </w:t>
      </w:r>
      <w:r w:rsidR="00762B73">
        <w:rPr>
          <w:i/>
          <w:noProof/>
          <w:lang w:val="sr-Latn-CS"/>
        </w:rPr>
        <w:t>Tradition</w:t>
      </w:r>
      <w:r w:rsidRPr="00762B73">
        <w:rPr>
          <w:noProof/>
          <w:lang w:val="sr-Latn-CS"/>
        </w:rPr>
        <w:t xml:space="preserve">, </w:t>
      </w:r>
      <w:r w:rsidR="00762B73">
        <w:rPr>
          <w:noProof/>
          <w:lang w:val="sr-Latn-CS"/>
        </w:rPr>
        <w:t>Springer</w:t>
      </w:r>
      <w:r w:rsidRPr="00762B73">
        <w:rPr>
          <w:noProof/>
          <w:lang w:val="sr-Latn-CS"/>
        </w:rPr>
        <w:t>, (2015), 233–286..</w:t>
      </w:r>
    </w:p>
  </w:footnote>
  <w:footnote w:id="7">
    <w:p w:rsidR="008D0B8E" w:rsidRPr="00762B73" w:rsidRDefault="008D0B8E" w:rsidP="00D37587">
      <w:pPr>
        <w:pStyle w:val="FootnoteText"/>
        <w:jc w:val="both"/>
        <w:rPr>
          <w:noProof/>
          <w:lang w:val="sr-Latn-CS"/>
        </w:rPr>
      </w:pPr>
      <w:r w:rsidRPr="00762B73">
        <w:rPr>
          <w:rStyle w:val="FootnoteReference"/>
          <w:noProof/>
          <w:lang w:val="sr-Latn-CS"/>
        </w:rPr>
        <w:footnoteRef/>
      </w:r>
      <w:r w:rsidRPr="00762B73">
        <w:rPr>
          <w:noProof/>
          <w:lang w:val="sr-Latn-CS"/>
        </w:rPr>
        <w:t xml:space="preserve"> </w:t>
      </w:r>
      <w:r w:rsidR="00762B73">
        <w:rPr>
          <w:noProof/>
          <w:lang w:val="sr-Latn-CS"/>
        </w:rPr>
        <w:t>Davor</w:t>
      </w:r>
      <w:r w:rsidRPr="00762B73">
        <w:rPr>
          <w:noProof/>
          <w:lang w:val="sr-Latn-CS"/>
        </w:rPr>
        <w:t xml:space="preserve"> </w:t>
      </w:r>
      <w:r w:rsidR="00762B73">
        <w:rPr>
          <w:noProof/>
          <w:lang w:val="sr-Latn-CS"/>
        </w:rPr>
        <w:t>Krapac</w:t>
      </w:r>
      <w:r w:rsidRPr="00762B73">
        <w:rPr>
          <w:i/>
          <w:noProof/>
          <w:lang w:val="sr-Latn-CS"/>
        </w:rPr>
        <w:t>,</w:t>
      </w:r>
      <w:r w:rsidRPr="00762B73">
        <w:rPr>
          <w:noProof/>
          <w:lang w:val="sr-Latn-CS"/>
        </w:rPr>
        <w:t xml:space="preserve"> </w:t>
      </w:r>
      <w:r w:rsidR="00762B73">
        <w:rPr>
          <w:i/>
          <w:noProof/>
          <w:lang w:val="sr-Latn-CS"/>
        </w:rPr>
        <w:t>Engleski</w:t>
      </w:r>
      <w:r w:rsidRPr="00762B73">
        <w:rPr>
          <w:i/>
          <w:noProof/>
          <w:lang w:val="sr-Latn-CS"/>
        </w:rPr>
        <w:t xml:space="preserve"> </w:t>
      </w:r>
      <w:r w:rsidR="00762B73">
        <w:rPr>
          <w:i/>
          <w:noProof/>
          <w:lang w:val="sr-Latn-CS"/>
        </w:rPr>
        <w:t>kazneni</w:t>
      </w:r>
      <w:r w:rsidRPr="00762B73">
        <w:rPr>
          <w:i/>
          <w:noProof/>
          <w:lang w:val="sr-Latn-CS"/>
        </w:rPr>
        <w:t xml:space="preserve"> </w:t>
      </w:r>
      <w:r w:rsidR="00762B73">
        <w:rPr>
          <w:i/>
          <w:noProof/>
          <w:lang w:val="sr-Latn-CS"/>
        </w:rPr>
        <w:t>postupak</w:t>
      </w:r>
      <w:r w:rsidRPr="00762B73">
        <w:rPr>
          <w:i/>
          <w:noProof/>
          <w:lang w:val="sr-Latn-CS"/>
        </w:rPr>
        <w:t>,</w:t>
      </w:r>
      <w:r w:rsidRPr="00762B73">
        <w:rPr>
          <w:noProof/>
          <w:lang w:val="sr-Latn-CS"/>
        </w:rPr>
        <w:t>1.</w:t>
      </w:r>
    </w:p>
  </w:footnote>
  <w:footnote w:id="8">
    <w:p w:rsidR="00FB445C" w:rsidRPr="00762B73" w:rsidRDefault="00FB445C" w:rsidP="00D37587">
      <w:pPr>
        <w:pStyle w:val="FootnoteText"/>
        <w:jc w:val="both"/>
        <w:rPr>
          <w:noProof/>
          <w:lang w:val="sr-Latn-CS"/>
        </w:rPr>
      </w:pPr>
      <w:r w:rsidRPr="00762B73">
        <w:rPr>
          <w:rStyle w:val="FootnoteReference"/>
          <w:noProof/>
          <w:lang w:val="sr-Latn-CS"/>
        </w:rPr>
        <w:footnoteRef/>
      </w:r>
      <w:r w:rsidRPr="00762B73">
        <w:rPr>
          <w:noProof/>
          <w:lang w:val="sr-Latn-CS"/>
        </w:rPr>
        <w:t xml:space="preserve"> </w:t>
      </w:r>
      <w:r w:rsidR="00762B73">
        <w:rPr>
          <w:noProof/>
          <w:lang w:val="sr-Latn-CS"/>
        </w:rPr>
        <w:t>Mirjan</w:t>
      </w:r>
      <w:r w:rsidRPr="00762B73">
        <w:rPr>
          <w:noProof/>
          <w:lang w:val="sr-Latn-CS"/>
        </w:rPr>
        <w:t xml:space="preserve"> </w:t>
      </w:r>
      <w:r w:rsidR="00762B73">
        <w:rPr>
          <w:noProof/>
          <w:lang w:val="sr-Latn-CS"/>
        </w:rPr>
        <w:t>Damaška</w:t>
      </w:r>
      <w:r w:rsidRPr="00762B73">
        <w:rPr>
          <w:noProof/>
          <w:lang w:val="sr-Latn-CS"/>
        </w:rPr>
        <w:t xml:space="preserve">, </w:t>
      </w:r>
      <w:r w:rsidR="00762B73">
        <w:rPr>
          <w:i/>
          <w:noProof/>
          <w:lang w:val="sr-Latn-CS"/>
        </w:rPr>
        <w:t>Lica</w:t>
      </w:r>
      <w:r w:rsidRPr="00762B73">
        <w:rPr>
          <w:i/>
          <w:noProof/>
          <w:lang w:val="sr-Latn-CS"/>
        </w:rPr>
        <w:t xml:space="preserve"> </w:t>
      </w:r>
      <w:r w:rsidR="00762B73">
        <w:rPr>
          <w:i/>
          <w:noProof/>
          <w:lang w:val="sr-Latn-CS"/>
        </w:rPr>
        <w:t>pravosuđa</w:t>
      </w:r>
      <w:r w:rsidRPr="00762B73">
        <w:rPr>
          <w:i/>
          <w:noProof/>
          <w:lang w:val="sr-Latn-CS"/>
        </w:rPr>
        <w:t xml:space="preserve"> </w:t>
      </w:r>
      <w:r w:rsidR="00762B73">
        <w:rPr>
          <w:i/>
          <w:noProof/>
          <w:lang w:val="sr-Latn-CS"/>
        </w:rPr>
        <w:t>i</w:t>
      </w:r>
      <w:r w:rsidRPr="00762B73">
        <w:rPr>
          <w:i/>
          <w:noProof/>
          <w:lang w:val="sr-Latn-CS"/>
        </w:rPr>
        <w:t xml:space="preserve"> </w:t>
      </w:r>
      <w:r w:rsidR="00762B73">
        <w:rPr>
          <w:i/>
          <w:noProof/>
          <w:lang w:val="sr-Latn-CS"/>
        </w:rPr>
        <w:t>državna</w:t>
      </w:r>
      <w:r w:rsidRPr="00762B73">
        <w:rPr>
          <w:i/>
          <w:noProof/>
          <w:lang w:val="sr-Latn-CS"/>
        </w:rPr>
        <w:t xml:space="preserve"> </w:t>
      </w:r>
      <w:r w:rsidR="00762B73">
        <w:rPr>
          <w:i/>
          <w:noProof/>
          <w:lang w:val="sr-Latn-CS"/>
        </w:rPr>
        <w:t>vlast</w:t>
      </w:r>
      <w:r w:rsidRPr="00762B73">
        <w:rPr>
          <w:i/>
          <w:noProof/>
          <w:lang w:val="sr-Latn-CS"/>
        </w:rPr>
        <w:t xml:space="preserve">, </w:t>
      </w:r>
      <w:r w:rsidR="00762B73">
        <w:rPr>
          <w:i/>
          <w:noProof/>
          <w:lang w:val="sr-Latn-CS"/>
        </w:rPr>
        <w:t>Usporedni</w:t>
      </w:r>
      <w:r w:rsidRPr="00762B73">
        <w:rPr>
          <w:i/>
          <w:noProof/>
          <w:lang w:val="sr-Latn-CS"/>
        </w:rPr>
        <w:t xml:space="preserve"> </w:t>
      </w:r>
      <w:r w:rsidR="00762B73">
        <w:rPr>
          <w:i/>
          <w:noProof/>
          <w:lang w:val="sr-Latn-CS"/>
        </w:rPr>
        <w:t>prikaz</w:t>
      </w:r>
      <w:r w:rsidRPr="00762B73">
        <w:rPr>
          <w:i/>
          <w:noProof/>
          <w:lang w:val="sr-Latn-CS"/>
        </w:rPr>
        <w:t xml:space="preserve"> </w:t>
      </w:r>
      <w:r w:rsidR="00762B73">
        <w:rPr>
          <w:i/>
          <w:noProof/>
          <w:lang w:val="sr-Latn-CS"/>
        </w:rPr>
        <w:t>pravosudnih</w:t>
      </w:r>
      <w:r w:rsidRPr="00762B73">
        <w:rPr>
          <w:i/>
          <w:noProof/>
          <w:lang w:val="sr-Latn-CS"/>
        </w:rPr>
        <w:t xml:space="preserve"> </w:t>
      </w:r>
      <w:r w:rsidR="00762B73">
        <w:rPr>
          <w:i/>
          <w:noProof/>
          <w:lang w:val="sr-Latn-CS"/>
        </w:rPr>
        <w:t>sustava</w:t>
      </w:r>
      <w:r w:rsidRPr="00762B73">
        <w:rPr>
          <w:noProof/>
          <w:lang w:val="sr-Latn-CS"/>
        </w:rPr>
        <w:t xml:space="preserve">, </w:t>
      </w:r>
      <w:r w:rsidR="00762B73">
        <w:rPr>
          <w:noProof/>
          <w:lang w:val="sr-Latn-CS"/>
        </w:rPr>
        <w:t>prevod</w:t>
      </w:r>
      <w:r w:rsidRPr="00762B73">
        <w:rPr>
          <w:noProof/>
          <w:lang w:val="sr-Latn-CS"/>
        </w:rPr>
        <w:t xml:space="preserve"> (</w:t>
      </w:r>
      <w:r w:rsidR="00762B73">
        <w:rPr>
          <w:noProof/>
          <w:lang w:val="sr-Latn-CS"/>
        </w:rPr>
        <w:t>Zagreb</w:t>
      </w:r>
      <w:r w:rsidRPr="00762B73">
        <w:rPr>
          <w:noProof/>
          <w:lang w:val="sr-Latn-CS"/>
        </w:rPr>
        <w:t xml:space="preserve">: </w:t>
      </w:r>
      <w:r w:rsidR="00762B73">
        <w:rPr>
          <w:noProof/>
          <w:lang w:val="sr-Latn-CS"/>
        </w:rPr>
        <w:t>Nakladni</w:t>
      </w:r>
      <w:r w:rsidRPr="00762B73">
        <w:rPr>
          <w:noProof/>
          <w:lang w:val="sr-Latn-CS"/>
        </w:rPr>
        <w:t xml:space="preserve"> </w:t>
      </w:r>
      <w:r w:rsidR="00762B73">
        <w:rPr>
          <w:noProof/>
          <w:lang w:val="sr-Latn-CS"/>
        </w:rPr>
        <w:t>zavod</w:t>
      </w:r>
      <w:r w:rsidRPr="00762B73">
        <w:rPr>
          <w:noProof/>
          <w:lang w:val="sr-Latn-CS"/>
        </w:rPr>
        <w:t xml:space="preserve"> </w:t>
      </w:r>
      <w:r w:rsidR="00762B73">
        <w:rPr>
          <w:noProof/>
          <w:lang w:val="sr-Latn-CS"/>
        </w:rPr>
        <w:t>Globus</w:t>
      </w:r>
      <w:r w:rsidRPr="00762B73">
        <w:rPr>
          <w:noProof/>
          <w:lang w:val="sr-Latn-CS"/>
        </w:rPr>
        <w:t>, 2008), 25.</w:t>
      </w:r>
    </w:p>
  </w:footnote>
  <w:footnote w:id="9">
    <w:p w:rsidR="00372D5F" w:rsidRPr="00762B73" w:rsidRDefault="00372D5F" w:rsidP="00C37456">
      <w:pPr>
        <w:pStyle w:val="FootnoteText"/>
        <w:rPr>
          <w:noProof/>
          <w:lang w:val="sr-Latn-CS"/>
        </w:rPr>
      </w:pPr>
      <w:r w:rsidRPr="00762B73">
        <w:rPr>
          <w:rStyle w:val="FootnoteReference"/>
          <w:noProof/>
          <w:lang w:val="sr-Latn-CS"/>
        </w:rPr>
        <w:footnoteRef/>
      </w:r>
      <w:r w:rsidRPr="00762B73">
        <w:rPr>
          <w:noProof/>
          <w:lang w:val="sr-Latn-CS"/>
        </w:rPr>
        <w:t xml:space="preserve"> </w:t>
      </w:r>
      <w:r w:rsidR="00762B73">
        <w:rPr>
          <w:noProof/>
          <w:lang w:val="sr-Latn-CS"/>
        </w:rPr>
        <w:t>Davor</w:t>
      </w:r>
      <w:r w:rsidRPr="00762B73">
        <w:rPr>
          <w:noProof/>
          <w:lang w:val="sr-Latn-CS"/>
        </w:rPr>
        <w:t xml:space="preserve"> </w:t>
      </w:r>
      <w:r w:rsidR="00762B73">
        <w:rPr>
          <w:noProof/>
          <w:lang w:val="sr-Latn-CS"/>
        </w:rPr>
        <w:t>Krapac</w:t>
      </w:r>
      <w:r w:rsidRPr="00762B73">
        <w:rPr>
          <w:i/>
          <w:noProof/>
          <w:lang w:val="sr-Latn-CS"/>
        </w:rPr>
        <w:t>,</w:t>
      </w:r>
      <w:r w:rsidRPr="00762B73">
        <w:rPr>
          <w:noProof/>
          <w:lang w:val="sr-Latn-CS"/>
        </w:rPr>
        <w:t xml:space="preserve"> </w:t>
      </w:r>
      <w:r w:rsidR="00762B73">
        <w:rPr>
          <w:i/>
          <w:noProof/>
          <w:lang w:val="sr-Latn-CS"/>
        </w:rPr>
        <w:t>Engleski</w:t>
      </w:r>
      <w:r w:rsidRPr="00762B73">
        <w:rPr>
          <w:i/>
          <w:noProof/>
          <w:lang w:val="sr-Latn-CS"/>
        </w:rPr>
        <w:t xml:space="preserve"> </w:t>
      </w:r>
      <w:r w:rsidR="00762B73">
        <w:rPr>
          <w:i/>
          <w:noProof/>
          <w:lang w:val="sr-Latn-CS"/>
        </w:rPr>
        <w:t>kazneni</w:t>
      </w:r>
      <w:r w:rsidRPr="00762B73">
        <w:rPr>
          <w:i/>
          <w:noProof/>
          <w:lang w:val="sr-Latn-CS"/>
        </w:rPr>
        <w:t xml:space="preserve"> </w:t>
      </w:r>
      <w:r w:rsidR="00762B73">
        <w:rPr>
          <w:i/>
          <w:noProof/>
          <w:lang w:val="sr-Latn-CS"/>
        </w:rPr>
        <w:t>postupak</w:t>
      </w:r>
      <w:r w:rsidRPr="00762B73">
        <w:rPr>
          <w:i/>
          <w:noProof/>
          <w:lang w:val="sr-Latn-CS"/>
        </w:rPr>
        <w:t>,</w:t>
      </w:r>
      <w:r w:rsidRPr="00762B73">
        <w:rPr>
          <w:noProof/>
          <w:lang w:val="sr-Latn-CS"/>
        </w:rPr>
        <w:t>4.</w:t>
      </w:r>
    </w:p>
  </w:footnote>
  <w:footnote w:id="10">
    <w:p w:rsidR="00372D5F" w:rsidRPr="00762B73" w:rsidRDefault="00372D5F" w:rsidP="00C37456">
      <w:pPr>
        <w:pStyle w:val="FootnoteText"/>
        <w:jc w:val="both"/>
        <w:rPr>
          <w:noProof/>
          <w:lang w:val="sr-Latn-CS"/>
        </w:rPr>
      </w:pPr>
      <w:r w:rsidRPr="00762B73">
        <w:rPr>
          <w:rStyle w:val="FootnoteReference"/>
          <w:noProof/>
          <w:lang w:val="sr-Latn-CS"/>
        </w:rPr>
        <w:footnoteRef/>
      </w:r>
      <w:r w:rsidR="00762B73">
        <w:rPr>
          <w:noProof/>
          <w:lang w:val="sr-Latn-CS"/>
        </w:rPr>
        <w:t xml:space="preserve"> See</w:t>
      </w:r>
      <w:r w:rsidRPr="00762B73">
        <w:rPr>
          <w:noProof/>
          <w:lang w:val="sr-Latn-CS"/>
        </w:rPr>
        <w:t xml:space="preserve"> David Ibettson, </w:t>
      </w:r>
      <w:r w:rsidRPr="00762B73">
        <w:rPr>
          <w:i/>
          <w:noProof/>
          <w:lang w:val="sr-Latn-CS"/>
        </w:rPr>
        <w:t>Common Law and Ius Commune</w:t>
      </w:r>
      <w:r w:rsidRPr="00762B73">
        <w:rPr>
          <w:noProof/>
          <w:lang w:val="sr-Latn-CS"/>
        </w:rPr>
        <w:t xml:space="preserve"> (London: Selden Society, London, 2001). </w:t>
      </w:r>
    </w:p>
  </w:footnote>
  <w:footnote w:id="11">
    <w:p w:rsidR="00372D5F" w:rsidRPr="00762B73" w:rsidRDefault="00372D5F" w:rsidP="00C37456">
      <w:pPr>
        <w:pStyle w:val="FootnoteText"/>
        <w:jc w:val="both"/>
        <w:rPr>
          <w:noProof/>
          <w:lang w:val="sr-Latn-CS"/>
        </w:rPr>
      </w:pPr>
      <w:r w:rsidRPr="00762B73">
        <w:rPr>
          <w:rStyle w:val="FootnoteReference"/>
          <w:noProof/>
          <w:lang w:val="sr-Latn-CS"/>
        </w:rPr>
        <w:footnoteRef/>
      </w:r>
      <w:r w:rsidRPr="00762B73">
        <w:rPr>
          <w:noProof/>
          <w:lang w:val="sr-Latn-CS"/>
        </w:rPr>
        <w:t xml:space="preserve"> </w:t>
      </w:r>
      <w:r w:rsidR="00762B73">
        <w:rPr>
          <w:noProof/>
          <w:lang w:val="sr-Latn-CS"/>
        </w:rPr>
        <w:t>Davor</w:t>
      </w:r>
      <w:r w:rsidRPr="00762B73">
        <w:rPr>
          <w:noProof/>
          <w:lang w:val="sr-Latn-CS"/>
        </w:rPr>
        <w:t xml:space="preserve"> </w:t>
      </w:r>
      <w:r w:rsidR="00762B73">
        <w:rPr>
          <w:noProof/>
          <w:lang w:val="sr-Latn-CS"/>
        </w:rPr>
        <w:t>Krapac</w:t>
      </w:r>
      <w:r w:rsidRPr="00762B73">
        <w:rPr>
          <w:i/>
          <w:noProof/>
          <w:lang w:val="sr-Latn-CS"/>
        </w:rPr>
        <w:t>,</w:t>
      </w:r>
      <w:r w:rsidRPr="00762B73">
        <w:rPr>
          <w:noProof/>
          <w:lang w:val="sr-Latn-CS"/>
        </w:rPr>
        <w:t xml:space="preserve"> </w:t>
      </w:r>
      <w:r w:rsidR="00762B73">
        <w:rPr>
          <w:i/>
          <w:noProof/>
          <w:lang w:val="sr-Latn-CS"/>
        </w:rPr>
        <w:t>Engleski</w:t>
      </w:r>
      <w:r w:rsidRPr="00762B73">
        <w:rPr>
          <w:i/>
          <w:noProof/>
          <w:lang w:val="sr-Latn-CS"/>
        </w:rPr>
        <w:t xml:space="preserve"> </w:t>
      </w:r>
      <w:r w:rsidR="00762B73">
        <w:rPr>
          <w:i/>
          <w:noProof/>
          <w:lang w:val="sr-Latn-CS"/>
        </w:rPr>
        <w:t>kazneni</w:t>
      </w:r>
      <w:r w:rsidRPr="00762B73">
        <w:rPr>
          <w:i/>
          <w:noProof/>
          <w:lang w:val="sr-Latn-CS"/>
        </w:rPr>
        <w:t xml:space="preserve"> </w:t>
      </w:r>
      <w:r w:rsidR="00762B73">
        <w:rPr>
          <w:i/>
          <w:noProof/>
          <w:lang w:val="sr-Latn-CS"/>
        </w:rPr>
        <w:t>postupak</w:t>
      </w:r>
      <w:r w:rsidRPr="00762B73">
        <w:rPr>
          <w:i/>
          <w:noProof/>
          <w:lang w:val="sr-Latn-CS"/>
        </w:rPr>
        <w:t xml:space="preserve">, </w:t>
      </w:r>
      <w:r w:rsidRPr="00762B73">
        <w:rPr>
          <w:noProof/>
          <w:lang w:val="sr-Latn-CS"/>
        </w:rPr>
        <w:t>4.</w:t>
      </w:r>
    </w:p>
  </w:footnote>
  <w:footnote w:id="12">
    <w:p w:rsidR="00774672" w:rsidRPr="00762B73" w:rsidRDefault="00774672" w:rsidP="00C37456">
      <w:pPr>
        <w:pStyle w:val="NormalWeb"/>
        <w:spacing w:before="0" w:beforeAutospacing="0" w:after="0" w:afterAutospacing="0" w:line="220" w:lineRule="atLeast"/>
        <w:jc w:val="both"/>
        <w:rPr>
          <w:i/>
          <w:iCs/>
          <w:sz w:val="20"/>
          <w:szCs w:val="20"/>
          <w:lang w:val="sr-Latn-CS"/>
        </w:rPr>
      </w:pPr>
      <w:r w:rsidRPr="00762B73">
        <w:rPr>
          <w:rStyle w:val="FootnoteReference"/>
          <w:noProof/>
          <w:sz w:val="20"/>
          <w:szCs w:val="20"/>
          <w:lang w:val="sr-Latn-CS"/>
        </w:rPr>
        <w:footnoteRef/>
      </w:r>
      <w:r w:rsidRPr="00762B73">
        <w:rPr>
          <w:noProof/>
          <w:sz w:val="20"/>
          <w:szCs w:val="20"/>
          <w:lang w:val="sr-Latn-CS"/>
        </w:rPr>
        <w:t xml:space="preserve"> </w:t>
      </w:r>
      <w:r w:rsidR="00762B73">
        <w:rPr>
          <w:noProof/>
          <w:sz w:val="20"/>
          <w:szCs w:val="20"/>
          <w:lang w:val="sr-Latn-CS"/>
        </w:rPr>
        <w:t>See</w:t>
      </w:r>
      <w:r w:rsidRPr="00762B73">
        <w:rPr>
          <w:noProof/>
          <w:sz w:val="20"/>
          <w:szCs w:val="20"/>
          <w:lang w:val="sr-Latn-CS"/>
        </w:rPr>
        <w:t xml:space="preserve"> Stephen N. Subrint, „How equity conquered common law: the Federal rules of civil procedure in historical perspective“, </w:t>
      </w:r>
      <w:hyperlink r:id="rId1" w:anchor="#" w:history="1">
        <w:r w:rsidRPr="00762B73">
          <w:rPr>
            <w:rStyle w:val="Hyperlink"/>
            <w:i/>
            <w:iCs/>
            <w:noProof/>
            <w:color w:val="auto"/>
            <w:sz w:val="20"/>
            <w:szCs w:val="20"/>
            <w:u w:val="none"/>
            <w:lang w:val="sr-Latn-CS"/>
          </w:rPr>
          <w:t>University of Pennsylvania Law Review</w:t>
        </w:r>
        <w:r w:rsidRPr="00762B73">
          <w:rPr>
            <w:rStyle w:val="Hyperlink"/>
            <w:iCs/>
            <w:noProof/>
            <w:color w:val="auto"/>
            <w:sz w:val="20"/>
            <w:szCs w:val="20"/>
            <w:u w:val="none"/>
            <w:lang w:val="sr-Latn-CS"/>
          </w:rPr>
          <w:t xml:space="preserve">, Vol. 135, No. 4, 1987, 909-1002. </w:t>
        </w:r>
      </w:hyperlink>
    </w:p>
  </w:footnote>
  <w:footnote w:id="13">
    <w:p w:rsidR="00F40906" w:rsidRPr="00762B73" w:rsidRDefault="00F40906" w:rsidP="00C37456">
      <w:pPr>
        <w:pStyle w:val="FootnoteText"/>
        <w:jc w:val="both"/>
        <w:rPr>
          <w:noProof/>
          <w:lang w:val="sr-Latn-CS"/>
        </w:rPr>
      </w:pPr>
      <w:r w:rsidRPr="00762B73">
        <w:rPr>
          <w:rStyle w:val="FootnoteReference"/>
          <w:noProof/>
          <w:lang w:val="sr-Latn-CS"/>
        </w:rPr>
        <w:footnoteRef/>
      </w:r>
      <w:r w:rsidRPr="00762B73">
        <w:rPr>
          <w:noProof/>
          <w:lang w:val="sr-Latn-CS"/>
        </w:rPr>
        <w:t xml:space="preserve"> </w:t>
      </w:r>
      <w:r w:rsidR="00762B73">
        <w:rPr>
          <w:noProof/>
          <w:lang w:val="sr-Latn-CS"/>
        </w:rPr>
        <w:t>Procedural criteria for distrinction of criminal offenses are not the only ones. After XIII Centurz an idea on categorization of offenses according to their severity occurred, which depends on the degree of perpetrator's intention. Therefore, there is treason of a kind, as the most severe offense, and than there are other felonies and misdemeanours.</w:t>
      </w:r>
    </w:p>
  </w:footnote>
  <w:footnote w:id="14">
    <w:p w:rsidR="00E02748" w:rsidRPr="0084465E" w:rsidRDefault="00E02748" w:rsidP="00C37456">
      <w:pPr>
        <w:pStyle w:val="FootnoteText"/>
        <w:jc w:val="both"/>
        <w:rPr>
          <w:noProof/>
          <w:lang w:val="sr-Latn-CS"/>
        </w:rPr>
      </w:pPr>
      <w:r w:rsidRPr="0084465E">
        <w:rPr>
          <w:rStyle w:val="FootnoteReference"/>
          <w:noProof/>
          <w:lang w:val="sr-Latn-CS"/>
        </w:rPr>
        <w:footnoteRef/>
      </w:r>
      <w:r w:rsidRPr="0084465E">
        <w:rPr>
          <w:noProof/>
          <w:lang w:val="sr-Latn-CS"/>
        </w:rPr>
        <w:t xml:space="preserve"> </w:t>
      </w:r>
      <w:r w:rsidR="00762B73" w:rsidRPr="0084465E">
        <w:rPr>
          <w:noProof/>
          <w:lang w:val="sr-Latn-CS"/>
        </w:rPr>
        <w:t>See</w:t>
      </w:r>
      <w:r w:rsidRPr="0084465E">
        <w:rPr>
          <w:noProof/>
          <w:lang w:val="sr-Latn-CS"/>
        </w:rPr>
        <w:t xml:space="preserve"> </w:t>
      </w:r>
      <w:r w:rsidRPr="0084465E">
        <w:rPr>
          <w:rFonts w:cs="Times New Roman"/>
          <w:noProof/>
          <w:shd w:val="clear" w:color="auto" w:fill="FFFFFF"/>
          <w:lang w:val="sr-Latn-CS"/>
        </w:rPr>
        <w:t>Jerzy Wróblewski</w:t>
      </w:r>
      <w:r w:rsidRPr="0084465E">
        <w:rPr>
          <w:noProof/>
          <w:lang w:val="sr-Latn-CS"/>
        </w:rPr>
        <w:t>, „Facts in Law“,</w:t>
      </w:r>
      <w:r w:rsidRPr="0084465E">
        <w:rPr>
          <w:i/>
          <w:noProof/>
          <w:lang w:val="sr-Latn-CS"/>
        </w:rPr>
        <w:t xml:space="preserve"> Archives for Philosophy of Law and Social Philosophy</w:t>
      </w:r>
      <w:r w:rsidRPr="0084465E">
        <w:rPr>
          <w:noProof/>
          <w:lang w:val="sr-Latn-CS"/>
        </w:rPr>
        <w:t xml:space="preserve"> Vol. 59, No. 2, 1992, </w:t>
      </w:r>
      <w:r w:rsidRPr="0084465E">
        <w:rPr>
          <w:rFonts w:cs="Times New Roman"/>
          <w:noProof/>
          <w:shd w:val="clear" w:color="auto" w:fill="FFFFFF"/>
          <w:lang w:val="sr-Latn-CS"/>
        </w:rPr>
        <w:t>161-178</w:t>
      </w:r>
      <w:r w:rsidRPr="0084465E">
        <w:rPr>
          <w:rFonts w:ascii="Arial" w:hAnsi="Arial" w:cs="Arial"/>
          <w:noProof/>
          <w:sz w:val="13"/>
          <w:szCs w:val="13"/>
          <w:shd w:val="clear" w:color="auto" w:fill="FFFFFF"/>
          <w:lang w:val="sr-Latn-CS"/>
        </w:rPr>
        <w:t xml:space="preserve"> </w:t>
      </w:r>
      <w:r w:rsidRPr="0084465E">
        <w:rPr>
          <w:noProof/>
          <w:lang w:val="sr-Latn-CS"/>
        </w:rPr>
        <w:t xml:space="preserve"> </w:t>
      </w:r>
      <w:r w:rsidR="00762B73" w:rsidRPr="0084465E">
        <w:rPr>
          <w:noProof/>
          <w:lang w:val="sr-Latn-CS"/>
        </w:rPr>
        <w:t>i</w:t>
      </w:r>
      <w:r w:rsidRPr="0084465E">
        <w:rPr>
          <w:noProof/>
          <w:lang w:val="sr-Latn-CS"/>
        </w:rPr>
        <w:t xml:space="preserve"> L</w:t>
      </w:r>
      <w:r w:rsidR="00762B73" w:rsidRPr="0084465E">
        <w:rPr>
          <w:noProof/>
          <w:lang w:val="sr-Latn-CS"/>
        </w:rPr>
        <w:t>ee</w:t>
      </w:r>
      <w:r w:rsidRPr="0084465E">
        <w:rPr>
          <w:noProof/>
          <w:lang w:val="sr-Latn-CS"/>
        </w:rPr>
        <w:t xml:space="preserve"> Loevinger, “Facts, Evidence and Legal Proof“,</w:t>
      </w:r>
      <w:r w:rsidRPr="0084465E">
        <w:rPr>
          <w:i/>
          <w:noProof/>
          <w:lang w:val="sr-Latn-CS"/>
        </w:rPr>
        <w:t xml:space="preserve">  Case Western Reserve Law Review</w:t>
      </w:r>
      <w:r w:rsidRPr="0084465E">
        <w:rPr>
          <w:noProof/>
          <w:lang w:val="sr-Latn-CS"/>
        </w:rPr>
        <w:t>, Volume 9, Issue 2, 1958, 154-175.</w:t>
      </w:r>
    </w:p>
  </w:footnote>
  <w:footnote w:id="15">
    <w:p w:rsidR="00E02748" w:rsidRPr="0084465E" w:rsidRDefault="00E02748" w:rsidP="00C37456">
      <w:pPr>
        <w:pStyle w:val="FootnoteText"/>
        <w:jc w:val="both"/>
        <w:rPr>
          <w:noProof/>
          <w:lang w:val="sr-Latn-CS"/>
        </w:rPr>
      </w:pPr>
      <w:r w:rsidRPr="0084465E">
        <w:rPr>
          <w:rStyle w:val="FootnoteReference"/>
          <w:noProof/>
          <w:lang w:val="sr-Latn-CS"/>
        </w:rPr>
        <w:footnoteRef/>
      </w:r>
      <w:r w:rsidRPr="0084465E">
        <w:rPr>
          <w:noProof/>
          <w:lang w:val="sr-Latn-CS"/>
        </w:rPr>
        <w:t xml:space="preserve"> </w:t>
      </w:r>
      <w:r w:rsidR="0084465E">
        <w:rPr>
          <w:noProof/>
          <w:lang w:val="sr-Latn-CS"/>
        </w:rPr>
        <w:t>Davor</w:t>
      </w:r>
      <w:r w:rsidRPr="0084465E">
        <w:rPr>
          <w:noProof/>
          <w:lang w:val="sr-Latn-CS"/>
        </w:rPr>
        <w:t xml:space="preserve"> </w:t>
      </w:r>
      <w:r w:rsidR="0084465E">
        <w:rPr>
          <w:noProof/>
          <w:lang w:val="sr-Latn-CS"/>
        </w:rPr>
        <w:t>Krapac</w:t>
      </w:r>
      <w:r w:rsidRPr="0084465E">
        <w:rPr>
          <w:i/>
          <w:noProof/>
          <w:lang w:val="sr-Latn-CS"/>
        </w:rPr>
        <w:t>,</w:t>
      </w:r>
      <w:r w:rsidRPr="0084465E">
        <w:rPr>
          <w:noProof/>
          <w:lang w:val="sr-Latn-CS"/>
        </w:rPr>
        <w:t xml:space="preserve"> </w:t>
      </w:r>
      <w:r w:rsidR="0084465E">
        <w:rPr>
          <w:i/>
          <w:noProof/>
          <w:lang w:val="sr-Latn-CS"/>
        </w:rPr>
        <w:t>Engleski</w:t>
      </w:r>
      <w:r w:rsidRPr="0084465E">
        <w:rPr>
          <w:i/>
          <w:noProof/>
          <w:lang w:val="sr-Latn-CS"/>
        </w:rPr>
        <w:t xml:space="preserve"> </w:t>
      </w:r>
      <w:r w:rsidR="0084465E">
        <w:rPr>
          <w:i/>
          <w:noProof/>
          <w:lang w:val="sr-Latn-CS"/>
        </w:rPr>
        <w:t>kazneni</w:t>
      </w:r>
      <w:r w:rsidRPr="0084465E">
        <w:rPr>
          <w:i/>
          <w:noProof/>
          <w:lang w:val="sr-Latn-CS"/>
        </w:rPr>
        <w:t xml:space="preserve"> </w:t>
      </w:r>
      <w:r w:rsidR="0084465E">
        <w:rPr>
          <w:i/>
          <w:noProof/>
          <w:lang w:val="sr-Latn-CS"/>
        </w:rPr>
        <w:t>postupak</w:t>
      </w:r>
      <w:r w:rsidRPr="0084465E">
        <w:rPr>
          <w:i/>
          <w:noProof/>
          <w:lang w:val="sr-Latn-CS"/>
        </w:rPr>
        <w:t>,</w:t>
      </w:r>
      <w:r w:rsidRPr="0084465E">
        <w:rPr>
          <w:noProof/>
          <w:lang w:val="sr-Latn-CS"/>
        </w:rPr>
        <w:t>10.</w:t>
      </w:r>
    </w:p>
  </w:footnote>
  <w:footnote w:id="16">
    <w:p w:rsidR="00056A89" w:rsidRPr="0084465E" w:rsidRDefault="00056A89" w:rsidP="00C37456">
      <w:pPr>
        <w:pStyle w:val="FootnoteText"/>
        <w:jc w:val="both"/>
        <w:rPr>
          <w:noProof/>
          <w:lang w:val="sr-Latn-CS"/>
        </w:rPr>
      </w:pPr>
      <w:r w:rsidRPr="0084465E">
        <w:rPr>
          <w:rStyle w:val="FootnoteReference"/>
          <w:noProof/>
          <w:lang w:val="sr-Latn-CS"/>
        </w:rPr>
        <w:footnoteRef/>
      </w:r>
      <w:r w:rsidRPr="0084465E">
        <w:rPr>
          <w:noProof/>
          <w:lang w:val="sr-Latn-CS"/>
        </w:rPr>
        <w:t xml:space="preserve"> </w:t>
      </w:r>
      <w:r w:rsidR="0084465E">
        <w:rPr>
          <w:noProof/>
          <w:lang w:val="sr-Latn-CS"/>
        </w:rPr>
        <w:t xml:space="preserve">Stanard of proof beyond reasonable doubt is </w:t>
      </w:r>
      <w:r w:rsidR="0084465E" w:rsidRPr="0084465E">
        <w:rPr>
          <w:noProof/>
          <w:lang w:val="sr-Latn-CS"/>
        </w:rPr>
        <w:t>inextricably intertwined</w:t>
      </w:r>
      <w:r w:rsidR="0084465E">
        <w:rPr>
          <w:noProof/>
          <w:lang w:val="sr-Latn-CS"/>
        </w:rPr>
        <w:t xml:space="preserve"> with fundamental principle for all criminal trials – presumption of innocence.</w:t>
      </w:r>
    </w:p>
  </w:footnote>
  <w:footnote w:id="17">
    <w:p w:rsidR="009006EF" w:rsidRPr="00F81771" w:rsidRDefault="009006EF" w:rsidP="00C37456">
      <w:pPr>
        <w:pStyle w:val="FootnoteText"/>
      </w:pPr>
      <w:r>
        <w:rPr>
          <w:rStyle w:val="FootnoteReference"/>
        </w:rPr>
        <w:footnoteRef/>
      </w:r>
      <w:r>
        <w:t xml:space="preserve"> </w:t>
      </w:r>
      <w:r w:rsidRPr="00E07CC1">
        <w:rPr>
          <w:i/>
        </w:rPr>
        <w:t>The Criminal Procedure Rules 2015</w:t>
      </w:r>
      <w:r>
        <w:rPr>
          <w:i/>
        </w:rPr>
        <w:t xml:space="preserve">, </w:t>
      </w:r>
      <w:r>
        <w:t>part 10: Indictment.</w:t>
      </w:r>
      <w:r w:rsidRPr="00E07CC1">
        <w:t xml:space="preserve"> </w:t>
      </w:r>
    </w:p>
  </w:footnote>
  <w:footnote w:id="18">
    <w:p w:rsidR="002323BF" w:rsidRPr="00E803B7" w:rsidRDefault="002323BF" w:rsidP="00C37456">
      <w:pPr>
        <w:pStyle w:val="FootnoteText"/>
        <w:jc w:val="both"/>
      </w:pPr>
      <w:r>
        <w:rPr>
          <w:rStyle w:val="FootnoteReference"/>
        </w:rPr>
        <w:footnoteRef/>
      </w:r>
      <w:r>
        <w:t xml:space="preserve"> </w:t>
      </w:r>
      <w:r w:rsidR="009B2A0A">
        <w:t xml:space="preserve">Procedural rules of procedure are regulated by </w:t>
      </w:r>
      <w:r w:rsidRPr="003407B6">
        <w:rPr>
          <w:i/>
        </w:rPr>
        <w:t>Тhe Criminal Procedure Rules</w:t>
      </w:r>
      <w:r w:rsidRPr="009336C9">
        <w:t xml:space="preserve"> 2015,</w:t>
      </w:r>
      <w:r>
        <w:t xml:space="preserve"> </w:t>
      </w:r>
      <w:hyperlink r:id="rId2" w:history="1">
        <w:r w:rsidRPr="009336C9">
          <w:rPr>
            <w:rStyle w:val="Hyperlink"/>
            <w:i/>
            <w:color w:val="auto"/>
            <w:u w:val="none"/>
          </w:rPr>
          <w:t>http://www.legisla</w:t>
        </w:r>
        <w:r>
          <w:rPr>
            <w:rStyle w:val="Hyperlink"/>
            <w:i/>
            <w:color w:val="auto"/>
            <w:u w:val="none"/>
          </w:rPr>
          <w:t xml:space="preserve"> </w:t>
        </w:r>
        <w:r w:rsidRPr="009336C9">
          <w:rPr>
            <w:rStyle w:val="Hyperlink"/>
            <w:i/>
            <w:color w:val="auto"/>
            <w:u w:val="none"/>
          </w:rPr>
          <w:t>tion.</w:t>
        </w:r>
        <w:r>
          <w:rPr>
            <w:rStyle w:val="Hyperlink"/>
            <w:i/>
            <w:color w:val="auto"/>
            <w:u w:val="none"/>
          </w:rPr>
          <w:t xml:space="preserve"> </w:t>
        </w:r>
        <w:r w:rsidRPr="009336C9">
          <w:rPr>
            <w:rStyle w:val="Hyperlink"/>
            <w:i/>
            <w:color w:val="auto"/>
            <w:u w:val="none"/>
          </w:rPr>
          <w:t>gov.uk/</w:t>
        </w:r>
        <w:r>
          <w:rPr>
            <w:rStyle w:val="Hyperlink"/>
            <w:i/>
            <w:color w:val="auto"/>
            <w:u w:val="none"/>
          </w:rPr>
          <w:t xml:space="preserve"> </w:t>
        </w:r>
        <w:r w:rsidRPr="009336C9">
          <w:rPr>
            <w:rStyle w:val="Hyperlink"/>
            <w:i/>
            <w:color w:val="auto"/>
            <w:u w:val="none"/>
          </w:rPr>
          <w:t>uksi/2015/1490/contents/made</w:t>
        </w:r>
      </w:hyperlink>
      <w:r w:rsidRPr="009336C9">
        <w:rPr>
          <w:i/>
        </w:rPr>
        <w:t>,</w:t>
      </w:r>
      <w:r>
        <w:t xml:space="preserve"> </w:t>
      </w:r>
      <w:r w:rsidR="009B2A0A">
        <w:t xml:space="preserve">accessed on </w:t>
      </w:r>
      <w:r>
        <w:t>12</w:t>
      </w:r>
      <w:r w:rsidR="009B2A0A">
        <w:t xml:space="preserve"> November </w:t>
      </w:r>
      <w:r>
        <w:t>2019.</w:t>
      </w:r>
    </w:p>
  </w:footnote>
  <w:footnote w:id="19">
    <w:p w:rsidR="00B50A65" w:rsidRPr="00987C36" w:rsidRDefault="00B50A65" w:rsidP="00C37456">
      <w:pPr>
        <w:pStyle w:val="FootnoteText"/>
        <w:jc w:val="both"/>
        <w:rPr>
          <w:noProof/>
          <w:lang w:val="sr-Latn-CS"/>
        </w:rPr>
      </w:pPr>
      <w:r w:rsidRPr="00987C36">
        <w:rPr>
          <w:rStyle w:val="FootnoteReference"/>
          <w:noProof/>
          <w:lang w:val="sr-Latn-CS"/>
        </w:rPr>
        <w:footnoteRef/>
      </w:r>
      <w:r w:rsidRPr="00987C36">
        <w:rPr>
          <w:noProof/>
          <w:lang w:val="sr-Latn-CS"/>
        </w:rPr>
        <w:t xml:space="preserve"> </w:t>
      </w:r>
      <w:r w:rsidR="00987C36">
        <w:rPr>
          <w:noProof/>
          <w:lang w:val="sr-Latn-CS"/>
        </w:rPr>
        <w:t>See</w:t>
      </w:r>
      <w:r w:rsidRPr="00987C36">
        <w:rPr>
          <w:noProof/>
          <w:lang w:val="sr-Latn-CS"/>
        </w:rPr>
        <w:t xml:space="preserve"> </w:t>
      </w:r>
      <w:r w:rsidRPr="00987C36">
        <w:rPr>
          <w:i/>
          <w:noProof/>
          <w:lang w:val="sr-Latn-CS"/>
        </w:rPr>
        <w:t>Witnesses and oral evidence</w:t>
      </w:r>
      <w:r w:rsidRPr="00987C36">
        <w:rPr>
          <w:noProof/>
          <w:lang w:val="sr-Latn-CS"/>
        </w:rPr>
        <w:t xml:space="preserve">, UK Parliament, </w:t>
      </w:r>
      <w:hyperlink r:id="rId3" w:history="1">
        <w:r w:rsidRPr="00987C36">
          <w:rPr>
            <w:rStyle w:val="Hyperlink"/>
            <w:i/>
            <w:noProof/>
            <w:color w:val="auto"/>
            <w:u w:val="none"/>
            <w:lang w:val="sr-Latn-CS"/>
          </w:rPr>
          <w:t>https://beta.parliament.uk/articles/CnhtfyB1</w:t>
        </w:r>
      </w:hyperlink>
      <w:r w:rsidRPr="00987C36">
        <w:rPr>
          <w:i/>
          <w:noProof/>
          <w:lang w:val="sr-Latn-CS"/>
        </w:rPr>
        <w:t xml:space="preserve">, </w:t>
      </w:r>
      <w:r w:rsidR="00987C36">
        <w:rPr>
          <w:noProof/>
          <w:lang w:val="sr-Latn-CS"/>
        </w:rPr>
        <w:t>pristupljeno</w:t>
      </w:r>
      <w:r w:rsidRPr="00987C36">
        <w:rPr>
          <w:noProof/>
          <w:lang w:val="sr-Latn-CS"/>
        </w:rPr>
        <w:t xml:space="preserve"> 9.5.2020. </w:t>
      </w:r>
      <w:r w:rsidR="00987C36">
        <w:rPr>
          <w:noProof/>
          <w:lang w:val="sr-Latn-CS"/>
        </w:rPr>
        <w:t>i</w:t>
      </w:r>
      <w:r w:rsidRPr="00987C36">
        <w:rPr>
          <w:noProof/>
          <w:lang w:val="sr-Latn-CS"/>
        </w:rPr>
        <w:t xml:space="preserve"> </w:t>
      </w:r>
      <w:r w:rsidRPr="00987C36">
        <w:rPr>
          <w:rFonts w:cs="Times New Roman"/>
          <w:noProof/>
          <w:shd w:val="clear" w:color="auto" w:fill="FFFFFF"/>
          <w:lang w:val="sr-Latn-CS"/>
        </w:rPr>
        <w:t>Yock Lin Tan</w:t>
      </w:r>
      <w:r w:rsidRPr="00987C36">
        <w:rPr>
          <w:rFonts w:cs="Times New Roman"/>
          <w:noProof/>
          <w:lang w:val="sr-Latn-CS"/>
        </w:rPr>
        <w:t>,</w:t>
      </w:r>
      <w:r w:rsidRPr="00987C36">
        <w:rPr>
          <w:noProof/>
          <w:lang w:val="sr-Latn-CS"/>
        </w:rPr>
        <w:t xml:space="preserve"> “Weight of oral evidence in criminal proceedings“,</w:t>
      </w:r>
      <w:r w:rsidRPr="00987C36">
        <w:rPr>
          <w:i/>
          <w:noProof/>
          <w:lang w:val="sr-Latn-CS"/>
        </w:rPr>
        <w:t xml:space="preserve"> Singapore Journal of Legal Studies,</w:t>
      </w:r>
      <w:r w:rsidRPr="00987C36">
        <w:rPr>
          <w:noProof/>
          <w:lang w:val="sr-Latn-CS"/>
        </w:rPr>
        <w:t xml:space="preserve"> Faculty of Law, National University of Singapore, 2000, 443-482.</w:t>
      </w:r>
    </w:p>
  </w:footnote>
  <w:footnote w:id="20">
    <w:p w:rsidR="00B50A65" w:rsidRPr="00987C36" w:rsidRDefault="00B50A65" w:rsidP="00C37456">
      <w:pPr>
        <w:pStyle w:val="FootnoteText"/>
        <w:jc w:val="both"/>
        <w:rPr>
          <w:noProof/>
          <w:lang w:val="sr-Latn-CS"/>
        </w:rPr>
      </w:pPr>
      <w:r w:rsidRPr="00987C36">
        <w:rPr>
          <w:rStyle w:val="FootnoteReference"/>
          <w:noProof/>
          <w:lang w:val="sr-Latn-CS"/>
        </w:rPr>
        <w:footnoteRef/>
      </w:r>
      <w:r w:rsidRPr="00987C36">
        <w:rPr>
          <w:noProof/>
          <w:lang w:val="sr-Latn-CS"/>
        </w:rPr>
        <w:t xml:space="preserve"> </w:t>
      </w:r>
      <w:r w:rsidR="00987C36">
        <w:rPr>
          <w:noProof/>
          <w:lang w:val="sr-Latn-CS"/>
        </w:rPr>
        <w:t>See</w:t>
      </w:r>
      <w:r w:rsidRPr="00987C36">
        <w:rPr>
          <w:noProof/>
          <w:lang w:val="sr-Latn-CS"/>
        </w:rPr>
        <w:t xml:space="preserve"> Sidney L.Phipson, „Real evidence“, </w:t>
      </w:r>
      <w:r w:rsidRPr="00987C36">
        <w:rPr>
          <w:i/>
          <w:noProof/>
          <w:lang w:val="sr-Latn-CS"/>
        </w:rPr>
        <w:t>Yale Law Journal</w:t>
      </w:r>
      <w:r w:rsidRPr="00987C36">
        <w:rPr>
          <w:noProof/>
          <w:lang w:val="sr-Latn-CS"/>
        </w:rPr>
        <w:t xml:space="preserve">, Volume 29, Issue 7 Article 1, 1920, 706-717. </w:t>
      </w:r>
    </w:p>
  </w:footnote>
  <w:footnote w:id="21">
    <w:p w:rsidR="00B50A65" w:rsidRPr="00987C36" w:rsidRDefault="00B50A65" w:rsidP="00C37456">
      <w:pPr>
        <w:pStyle w:val="FootnoteText"/>
        <w:jc w:val="both"/>
        <w:rPr>
          <w:lang w:val="sr-Latn-CS"/>
        </w:rPr>
      </w:pPr>
      <w:r w:rsidRPr="00987C36">
        <w:rPr>
          <w:rStyle w:val="FootnoteReference"/>
          <w:noProof/>
          <w:lang w:val="sr-Latn-CS"/>
        </w:rPr>
        <w:footnoteRef/>
      </w:r>
      <w:r w:rsidRPr="00987C36">
        <w:rPr>
          <w:noProof/>
          <w:lang w:val="sr-Latn-CS"/>
        </w:rPr>
        <w:t xml:space="preserve"> </w:t>
      </w:r>
      <w:r w:rsidR="00987C36">
        <w:rPr>
          <w:noProof/>
          <w:lang w:val="sr-Latn-CS"/>
        </w:rPr>
        <w:t>See</w:t>
      </w:r>
      <w:r w:rsidRPr="00987C36">
        <w:rPr>
          <w:noProof/>
          <w:lang w:val="sr-Latn-CS"/>
        </w:rPr>
        <w:t xml:space="preserve"> </w:t>
      </w:r>
      <w:r w:rsidRPr="00987C36">
        <w:rPr>
          <w:rFonts w:cs="Times New Roman"/>
          <w:noProof/>
          <w:shd w:val="clear" w:color="auto" w:fill="FFFFFF"/>
          <w:lang w:val="sr-Latn-CS"/>
        </w:rPr>
        <w:t>Yock Lin Tan</w:t>
      </w:r>
      <w:r w:rsidRPr="00987C36">
        <w:rPr>
          <w:noProof/>
          <w:lang w:val="sr-Latn-CS"/>
        </w:rPr>
        <w:t>, „Making sense of documentary evidence“,</w:t>
      </w:r>
      <w:r w:rsidRPr="00987C36">
        <w:rPr>
          <w:i/>
          <w:noProof/>
          <w:lang w:val="sr-Latn-CS"/>
        </w:rPr>
        <w:t xml:space="preserve"> Singapore Journal of Legal Studies</w:t>
      </w:r>
      <w:r w:rsidRPr="00987C36">
        <w:rPr>
          <w:noProof/>
          <w:lang w:val="sr-Latn-CS"/>
        </w:rPr>
        <w:t>, Faculty of law, National University of Singapore, 1993, 504-537.</w:t>
      </w:r>
    </w:p>
  </w:footnote>
  <w:footnote w:id="22">
    <w:p w:rsidR="00305C32" w:rsidRPr="00987C36" w:rsidRDefault="00305C32" w:rsidP="00C37456">
      <w:pPr>
        <w:pStyle w:val="FootnoteText"/>
        <w:jc w:val="both"/>
        <w:rPr>
          <w:noProof/>
          <w:lang w:val="sr-Latn-CS"/>
        </w:rPr>
      </w:pPr>
      <w:r w:rsidRPr="00987C36">
        <w:rPr>
          <w:rStyle w:val="FootnoteReference"/>
          <w:noProof/>
          <w:lang w:val="sr-Latn-CS"/>
        </w:rPr>
        <w:footnoteRef/>
      </w:r>
      <w:r w:rsidRPr="00987C36">
        <w:rPr>
          <w:noProof/>
          <w:lang w:val="sr-Latn-CS"/>
        </w:rPr>
        <w:t xml:space="preserve"> </w:t>
      </w:r>
      <w:r w:rsidR="0088375D">
        <w:rPr>
          <w:noProof/>
          <w:lang w:val="sr-Latn-CS"/>
        </w:rPr>
        <w:t>See</w:t>
      </w:r>
      <w:r w:rsidRPr="00987C36">
        <w:rPr>
          <w:noProof/>
          <w:lang w:val="sr-Latn-CS"/>
        </w:rPr>
        <w:t xml:space="preserve"> </w:t>
      </w:r>
      <w:r w:rsidRPr="00987C36">
        <w:rPr>
          <w:rFonts w:cs="Times New Roman"/>
          <w:noProof/>
          <w:shd w:val="clear" w:color="auto" w:fill="FFFFFF"/>
          <w:lang w:val="sr-Latn-CS"/>
        </w:rPr>
        <w:t xml:space="preserve">Barry </w:t>
      </w:r>
      <w:r w:rsidRPr="00987C36">
        <w:rPr>
          <w:noProof/>
          <w:lang w:val="sr-Latn-CS"/>
        </w:rPr>
        <w:t>Nurcombe, „The Child as Witness: Competency and Credibility“,</w:t>
      </w:r>
      <w:r w:rsidRPr="00987C36">
        <w:rPr>
          <w:i/>
          <w:noProof/>
          <w:lang w:val="sr-Latn-CS"/>
        </w:rPr>
        <w:t xml:space="preserve"> Journal of the American Academy of Child Psychiatry</w:t>
      </w:r>
      <w:r w:rsidRPr="00987C36">
        <w:rPr>
          <w:noProof/>
          <w:lang w:val="sr-Latn-CS"/>
        </w:rPr>
        <w:t xml:space="preserve">, 25, 1986, 4473-480 </w:t>
      </w:r>
      <w:r w:rsidR="00987C36">
        <w:rPr>
          <w:noProof/>
          <w:lang w:val="sr-Latn-CS"/>
        </w:rPr>
        <w:t>i</w:t>
      </w:r>
      <w:r w:rsidRPr="00987C36">
        <w:rPr>
          <w:noProof/>
          <w:lang w:val="sr-Latn-CS"/>
        </w:rPr>
        <w:t xml:space="preserve"> Mice McGrath, Carolyn Clemens, „The Child Victim as a Witness in Sexual Abuse Cases“, </w:t>
      </w:r>
      <w:r w:rsidRPr="00987C36">
        <w:rPr>
          <w:i/>
          <w:noProof/>
          <w:lang w:val="sr-Latn-CS"/>
        </w:rPr>
        <w:t>Montana Law Review</w:t>
      </w:r>
      <w:r w:rsidRPr="00987C36">
        <w:rPr>
          <w:noProof/>
          <w:lang w:val="sr-Latn-CS"/>
        </w:rPr>
        <w:t>, Volume 46, Issue 2,  Article 1 (1985).</w:t>
      </w:r>
    </w:p>
  </w:footnote>
  <w:footnote w:id="23">
    <w:p w:rsidR="00E32A72" w:rsidRPr="00987C36" w:rsidRDefault="00E32A72" w:rsidP="00C37456">
      <w:pPr>
        <w:pStyle w:val="FootnoteText"/>
        <w:jc w:val="both"/>
        <w:rPr>
          <w:noProof/>
          <w:lang w:val="sr-Latn-CS"/>
        </w:rPr>
      </w:pPr>
      <w:r w:rsidRPr="00987C36">
        <w:rPr>
          <w:rStyle w:val="FootnoteReference"/>
          <w:noProof/>
          <w:lang w:val="sr-Latn-CS"/>
        </w:rPr>
        <w:footnoteRef/>
      </w:r>
      <w:r w:rsidRPr="00987C36">
        <w:rPr>
          <w:noProof/>
          <w:lang w:val="sr-Latn-CS"/>
        </w:rPr>
        <w:t xml:space="preserve"> </w:t>
      </w:r>
      <w:r w:rsidR="0069439C">
        <w:rPr>
          <w:noProof/>
          <w:lang w:val="sr-Latn-CS"/>
        </w:rPr>
        <w:t xml:space="preserve">This right has been enjoyed since </w:t>
      </w:r>
      <w:r w:rsidRPr="00987C36">
        <w:rPr>
          <w:noProof/>
          <w:lang w:val="sr-Latn-CS"/>
        </w:rPr>
        <w:t>1898.</w:t>
      </w:r>
    </w:p>
  </w:footnote>
  <w:footnote w:id="24">
    <w:p w:rsidR="00E32A72" w:rsidRPr="00987C36" w:rsidRDefault="00E32A72" w:rsidP="00C37456">
      <w:pPr>
        <w:pStyle w:val="FootnoteText"/>
        <w:rPr>
          <w:noProof/>
          <w:lang w:val="sr-Latn-CS"/>
        </w:rPr>
      </w:pPr>
      <w:r w:rsidRPr="00987C36">
        <w:rPr>
          <w:rStyle w:val="FootnoteReference"/>
          <w:noProof/>
          <w:lang w:val="sr-Latn-CS"/>
        </w:rPr>
        <w:footnoteRef/>
      </w:r>
      <w:r w:rsidRPr="00987C36">
        <w:rPr>
          <w:noProof/>
          <w:lang w:val="sr-Latn-CS"/>
        </w:rPr>
        <w:t xml:space="preserve"> </w:t>
      </w:r>
      <w:r w:rsidR="0069439C">
        <w:rPr>
          <w:noProof/>
          <w:lang w:val="sr-Latn-CS"/>
        </w:rPr>
        <w:t>See</w:t>
      </w:r>
      <w:r w:rsidRPr="00987C36">
        <w:rPr>
          <w:noProof/>
          <w:lang w:val="sr-Latn-CS"/>
        </w:rPr>
        <w:t xml:space="preserve"> </w:t>
      </w:r>
      <w:r w:rsidRPr="00987C36">
        <w:rPr>
          <w:i/>
          <w:noProof/>
          <w:lang w:val="sr-Latn-CS"/>
        </w:rPr>
        <w:t>Wilson v. Police</w:t>
      </w:r>
      <w:r w:rsidRPr="00987C36">
        <w:rPr>
          <w:noProof/>
          <w:lang w:val="sr-Latn-CS"/>
        </w:rPr>
        <w:t xml:space="preserve"> [1992] 2 N.Z.L.R. 533.</w:t>
      </w:r>
    </w:p>
  </w:footnote>
  <w:footnote w:id="25">
    <w:p w:rsidR="00E32A72" w:rsidRPr="00987C36" w:rsidRDefault="00E32A72" w:rsidP="00C37456">
      <w:pPr>
        <w:pStyle w:val="FootnoteText"/>
        <w:jc w:val="both"/>
        <w:rPr>
          <w:noProof/>
          <w:lang w:val="sr-Latn-CS"/>
        </w:rPr>
      </w:pPr>
      <w:r w:rsidRPr="00987C36">
        <w:rPr>
          <w:rStyle w:val="FootnoteReference"/>
          <w:noProof/>
          <w:lang w:val="sr-Latn-CS"/>
        </w:rPr>
        <w:footnoteRef/>
      </w:r>
      <w:r w:rsidRPr="00987C36">
        <w:rPr>
          <w:noProof/>
          <w:lang w:val="sr-Latn-CS"/>
        </w:rPr>
        <w:t xml:space="preserve"> </w:t>
      </w:r>
      <w:hyperlink r:id="rId4" w:history="1">
        <w:r w:rsidRPr="00987C36">
          <w:rPr>
            <w:rStyle w:val="Hyperlink"/>
            <w:i/>
            <w:noProof/>
            <w:color w:val="auto"/>
            <w:u w:val="none"/>
            <w:lang w:val="sr-Latn-CS"/>
          </w:rPr>
          <w:t>http://www.legislation.gov.uk/ukpga/1994/33/contents</w:t>
        </w:r>
      </w:hyperlink>
      <w:r w:rsidRPr="00987C36">
        <w:rPr>
          <w:i/>
          <w:noProof/>
          <w:lang w:val="sr-Latn-CS"/>
        </w:rPr>
        <w:t>,</w:t>
      </w:r>
      <w:r w:rsidRPr="00987C36">
        <w:rPr>
          <w:noProof/>
          <w:lang w:val="sr-Latn-CS"/>
        </w:rPr>
        <w:t xml:space="preserve"> </w:t>
      </w:r>
      <w:r w:rsidR="00987C36">
        <w:rPr>
          <w:noProof/>
          <w:lang w:val="sr-Latn-CS"/>
        </w:rPr>
        <w:t>pristupljeno</w:t>
      </w:r>
      <w:r w:rsidRPr="00987C36">
        <w:rPr>
          <w:noProof/>
          <w:lang w:val="sr-Latn-CS"/>
        </w:rPr>
        <w:t xml:space="preserve"> 6.5.2020. </w:t>
      </w:r>
      <w:r w:rsidR="00987C36">
        <w:rPr>
          <w:noProof/>
          <w:lang w:val="sr-Latn-CS"/>
        </w:rPr>
        <w:t>Članovi</w:t>
      </w:r>
      <w:r w:rsidRPr="00987C36">
        <w:rPr>
          <w:noProof/>
          <w:lang w:val="sr-Latn-CS"/>
        </w:rPr>
        <w:t xml:space="preserve"> 34-39 </w:t>
      </w:r>
      <w:r w:rsidR="00987C36">
        <w:rPr>
          <w:noProof/>
          <w:lang w:val="sr-Latn-CS"/>
        </w:rPr>
        <w:t>potpadaju</w:t>
      </w:r>
      <w:r w:rsidRPr="00987C36">
        <w:rPr>
          <w:noProof/>
          <w:lang w:val="sr-Latn-CS"/>
        </w:rPr>
        <w:t xml:space="preserve"> </w:t>
      </w:r>
      <w:r w:rsidR="00987C36">
        <w:rPr>
          <w:noProof/>
          <w:lang w:val="sr-Latn-CS"/>
        </w:rPr>
        <w:t>pod</w:t>
      </w:r>
      <w:r w:rsidRPr="00987C36">
        <w:rPr>
          <w:noProof/>
          <w:lang w:val="sr-Latn-CS"/>
        </w:rPr>
        <w:t xml:space="preserve"> </w:t>
      </w:r>
      <w:r w:rsidR="00987C36">
        <w:rPr>
          <w:noProof/>
          <w:lang w:val="sr-Latn-CS"/>
        </w:rPr>
        <w:t>sekciju</w:t>
      </w:r>
      <w:r w:rsidRPr="00987C36">
        <w:rPr>
          <w:noProof/>
          <w:lang w:val="sr-Latn-CS"/>
        </w:rPr>
        <w:t xml:space="preserve"> </w:t>
      </w:r>
      <w:r w:rsidRPr="00987C36">
        <w:rPr>
          <w:i/>
          <w:noProof/>
          <w:lang w:val="sr-Latn-CS"/>
        </w:rPr>
        <w:t>„Inferences from accused’s silence“.</w:t>
      </w:r>
      <w:r w:rsidRPr="00987C36">
        <w:rPr>
          <w:noProof/>
          <w:lang w:val="sr-Latn-CS"/>
        </w:rPr>
        <w:t xml:space="preserve"> </w:t>
      </w:r>
    </w:p>
  </w:footnote>
  <w:footnote w:id="26">
    <w:p w:rsidR="00E32A72" w:rsidRPr="00987C36" w:rsidRDefault="00E32A72" w:rsidP="00E32A72">
      <w:pPr>
        <w:pStyle w:val="FootnoteText"/>
        <w:ind w:firstLine="720"/>
        <w:jc w:val="both"/>
        <w:rPr>
          <w:lang w:val="sr-Latn-CS"/>
        </w:rPr>
      </w:pPr>
      <w:r w:rsidRPr="00987C36">
        <w:rPr>
          <w:rStyle w:val="FootnoteReference"/>
          <w:noProof/>
          <w:lang w:val="sr-Latn-CS"/>
        </w:rPr>
        <w:footnoteRef/>
      </w:r>
      <w:r w:rsidRPr="00987C36">
        <w:rPr>
          <w:noProof/>
          <w:lang w:val="sr-Latn-CS"/>
        </w:rPr>
        <w:t xml:space="preserve"> </w:t>
      </w:r>
      <w:r w:rsidR="00987C36">
        <w:rPr>
          <w:noProof/>
          <w:lang w:val="sr-Latn-CS"/>
        </w:rPr>
        <w:t>Davor</w:t>
      </w:r>
      <w:r w:rsidRPr="00987C36">
        <w:rPr>
          <w:noProof/>
          <w:lang w:val="sr-Latn-CS"/>
        </w:rPr>
        <w:t xml:space="preserve"> </w:t>
      </w:r>
      <w:r w:rsidR="00987C36">
        <w:rPr>
          <w:noProof/>
          <w:lang w:val="sr-Latn-CS"/>
        </w:rPr>
        <w:t>Krapac</w:t>
      </w:r>
      <w:r w:rsidRPr="00987C36">
        <w:rPr>
          <w:i/>
          <w:noProof/>
          <w:lang w:val="sr-Latn-CS"/>
        </w:rPr>
        <w:t>,</w:t>
      </w:r>
      <w:r w:rsidRPr="00987C36">
        <w:rPr>
          <w:noProof/>
          <w:lang w:val="sr-Latn-CS"/>
        </w:rPr>
        <w:t xml:space="preserve"> </w:t>
      </w:r>
      <w:r w:rsidR="00987C36">
        <w:rPr>
          <w:i/>
          <w:noProof/>
          <w:lang w:val="sr-Latn-CS"/>
        </w:rPr>
        <w:t>Engleski</w:t>
      </w:r>
      <w:r w:rsidRPr="00987C36">
        <w:rPr>
          <w:i/>
          <w:noProof/>
          <w:lang w:val="sr-Latn-CS"/>
        </w:rPr>
        <w:t xml:space="preserve"> </w:t>
      </w:r>
      <w:r w:rsidR="00987C36">
        <w:rPr>
          <w:i/>
          <w:noProof/>
          <w:lang w:val="sr-Latn-CS"/>
        </w:rPr>
        <w:t>kazneni</w:t>
      </w:r>
      <w:r w:rsidRPr="00987C36">
        <w:rPr>
          <w:i/>
          <w:noProof/>
          <w:lang w:val="sr-Latn-CS"/>
        </w:rPr>
        <w:t xml:space="preserve"> </w:t>
      </w:r>
      <w:r w:rsidR="00987C36">
        <w:rPr>
          <w:i/>
          <w:noProof/>
          <w:lang w:val="sr-Latn-CS"/>
        </w:rPr>
        <w:t>postupak</w:t>
      </w:r>
      <w:r w:rsidRPr="00987C36">
        <w:rPr>
          <w:i/>
          <w:noProof/>
          <w:lang w:val="sr-Latn-CS"/>
        </w:rPr>
        <w:t>,</w:t>
      </w:r>
      <w:r w:rsidRPr="00987C36">
        <w:rPr>
          <w:noProof/>
          <w:lang w:val="sr-Latn-CS"/>
        </w:rPr>
        <w:t xml:space="preserve"> 70.</w:t>
      </w:r>
    </w:p>
  </w:footnote>
  <w:footnote w:id="27">
    <w:p w:rsidR="00B5208E" w:rsidRPr="0069439C" w:rsidRDefault="00B5208E" w:rsidP="00C37456">
      <w:pPr>
        <w:pStyle w:val="FootnoteText"/>
        <w:jc w:val="both"/>
        <w:rPr>
          <w:noProof/>
          <w:lang w:val="sr-Latn-CS"/>
        </w:rPr>
      </w:pPr>
      <w:r w:rsidRPr="0069439C">
        <w:rPr>
          <w:rStyle w:val="FootnoteReference"/>
          <w:noProof/>
          <w:lang w:val="sr-Latn-CS"/>
        </w:rPr>
        <w:footnoteRef/>
      </w:r>
      <w:r w:rsidRPr="0069439C">
        <w:rPr>
          <w:noProof/>
          <w:lang w:val="sr-Latn-CS"/>
        </w:rPr>
        <w:t xml:space="preserve"> </w:t>
      </w:r>
      <w:r w:rsidR="0069439C">
        <w:rPr>
          <w:noProof/>
          <w:lang w:val="sr-Latn-CS"/>
        </w:rPr>
        <w:t xml:space="preserve">Provisions of procedural law on expertise and hearing of witnesses see: </w:t>
      </w:r>
      <w:r w:rsidRPr="0069439C">
        <w:rPr>
          <w:i/>
          <w:noProof/>
          <w:lang w:val="sr-Latn-CS"/>
        </w:rPr>
        <w:t>The Criminal Procedure Rules 2015</w:t>
      </w:r>
      <w:r w:rsidRPr="0069439C">
        <w:rPr>
          <w:noProof/>
          <w:lang w:val="sr-Latn-CS"/>
        </w:rPr>
        <w:t>;  part 19: Expert evidence.</w:t>
      </w:r>
    </w:p>
  </w:footnote>
  <w:footnote w:id="28">
    <w:p w:rsidR="001D6BE4" w:rsidRPr="0069439C" w:rsidRDefault="001D6BE4" w:rsidP="00C37456">
      <w:pPr>
        <w:pStyle w:val="FootnoteText"/>
        <w:jc w:val="both"/>
        <w:rPr>
          <w:noProof/>
          <w:lang w:val="sr-Latn-CS"/>
        </w:rPr>
      </w:pPr>
      <w:r w:rsidRPr="0069439C">
        <w:rPr>
          <w:rStyle w:val="FootnoteReference"/>
          <w:noProof/>
          <w:lang w:val="sr-Latn-CS"/>
        </w:rPr>
        <w:footnoteRef/>
      </w:r>
      <w:r w:rsidRPr="0069439C">
        <w:rPr>
          <w:noProof/>
          <w:lang w:val="sr-Latn-CS"/>
        </w:rPr>
        <w:t xml:space="preserve"> </w:t>
      </w:r>
      <w:r w:rsidRPr="0069439C">
        <w:rPr>
          <w:i/>
          <w:noProof/>
          <w:lang w:val="sr-Latn-CS"/>
        </w:rPr>
        <w:t>The Criminal Procedure Rules 2015</w:t>
      </w:r>
      <w:r w:rsidRPr="0069439C">
        <w:rPr>
          <w:noProof/>
          <w:lang w:val="sr-Latn-CS"/>
        </w:rPr>
        <w:t>;  part 26: Jurors.</w:t>
      </w:r>
    </w:p>
  </w:footnote>
  <w:footnote w:id="29">
    <w:p w:rsidR="00FF5806" w:rsidRPr="0069439C" w:rsidRDefault="00FF5806" w:rsidP="00C37456">
      <w:pPr>
        <w:pStyle w:val="FootnoteText"/>
        <w:jc w:val="both"/>
        <w:rPr>
          <w:lang w:val="sr-Latn-CS"/>
        </w:rPr>
      </w:pPr>
      <w:r w:rsidRPr="0069439C">
        <w:rPr>
          <w:rStyle w:val="FootnoteReference"/>
          <w:noProof/>
          <w:lang w:val="sr-Latn-CS"/>
        </w:rPr>
        <w:footnoteRef/>
      </w:r>
      <w:r w:rsidRPr="0069439C">
        <w:rPr>
          <w:noProof/>
          <w:lang w:val="sr-Latn-CS"/>
        </w:rPr>
        <w:t xml:space="preserve"> </w:t>
      </w:r>
      <w:r w:rsidR="0069439C">
        <w:rPr>
          <w:noProof/>
          <w:lang w:val="sr-Latn-CS"/>
        </w:rPr>
        <w:t>See</w:t>
      </w:r>
      <w:r w:rsidRPr="0069439C">
        <w:rPr>
          <w:noProof/>
          <w:lang w:val="sr-Latn-CS"/>
        </w:rPr>
        <w:t xml:space="preserve"> Part II Powers of Entry, Search and Seizure.</w:t>
      </w:r>
    </w:p>
  </w:footnote>
  <w:footnote w:id="30">
    <w:p w:rsidR="007146D4" w:rsidRPr="0069439C" w:rsidRDefault="007146D4" w:rsidP="00C37456">
      <w:pPr>
        <w:pStyle w:val="FootnoteText"/>
        <w:rPr>
          <w:noProof/>
          <w:lang w:val="sr-Latn-CS"/>
        </w:rPr>
      </w:pPr>
      <w:r w:rsidRPr="0069439C">
        <w:rPr>
          <w:rStyle w:val="FootnoteReference"/>
          <w:noProof/>
          <w:lang w:val="sr-Latn-CS"/>
        </w:rPr>
        <w:footnoteRef/>
      </w:r>
      <w:r w:rsidRPr="0069439C">
        <w:rPr>
          <w:noProof/>
          <w:lang w:val="sr-Latn-CS"/>
        </w:rPr>
        <w:t xml:space="preserve"> </w:t>
      </w:r>
      <w:r w:rsidRPr="0069439C">
        <w:rPr>
          <w:i/>
          <w:noProof/>
          <w:lang w:val="sr-Latn-CS"/>
        </w:rPr>
        <w:t>Police and Criminal Evidence Act</w:t>
      </w:r>
      <w:r w:rsidRPr="0069439C">
        <w:rPr>
          <w:noProof/>
          <w:lang w:val="sr-Latn-CS"/>
        </w:rPr>
        <w:t xml:space="preserve"> 1984, art. 68. </w:t>
      </w:r>
    </w:p>
  </w:footnote>
  <w:footnote w:id="31">
    <w:p w:rsidR="00377FBF" w:rsidRPr="0069439C" w:rsidRDefault="00377FBF" w:rsidP="00C37456">
      <w:pPr>
        <w:pStyle w:val="FootnoteText"/>
        <w:jc w:val="both"/>
        <w:rPr>
          <w:lang w:val="sr-Latn-CS"/>
        </w:rPr>
      </w:pPr>
      <w:r w:rsidRPr="0069439C">
        <w:rPr>
          <w:rStyle w:val="FootnoteReference"/>
          <w:noProof/>
          <w:lang w:val="sr-Latn-CS"/>
        </w:rPr>
        <w:footnoteRef/>
      </w:r>
      <w:r w:rsidRPr="0069439C">
        <w:rPr>
          <w:noProof/>
          <w:lang w:val="sr-Latn-CS"/>
        </w:rPr>
        <w:t xml:space="preserve"> </w:t>
      </w:r>
      <w:r w:rsidR="00583ADD">
        <w:rPr>
          <w:noProof/>
          <w:lang w:val="sr-Latn-CS"/>
        </w:rPr>
        <w:t>See</w:t>
      </w:r>
      <w:r w:rsidRPr="0069439C">
        <w:rPr>
          <w:noProof/>
          <w:lang w:val="sr-Latn-CS"/>
        </w:rPr>
        <w:t xml:space="preserve"> </w:t>
      </w:r>
      <w:r w:rsidR="00583ADD">
        <w:rPr>
          <w:noProof/>
          <w:lang w:val="sr-Latn-CS"/>
        </w:rPr>
        <w:t xml:space="preserve">Article </w:t>
      </w:r>
      <w:r w:rsidRPr="0069439C">
        <w:rPr>
          <w:noProof/>
          <w:lang w:val="sr-Latn-CS"/>
        </w:rPr>
        <w:t xml:space="preserve">13  </w:t>
      </w:r>
      <w:r w:rsidRPr="0069439C">
        <w:rPr>
          <w:i/>
          <w:noProof/>
          <w:lang w:val="sr-Latn-CS"/>
        </w:rPr>
        <w:t>Perjury Act</w:t>
      </w:r>
      <w:r w:rsidRPr="0069439C">
        <w:rPr>
          <w:noProof/>
          <w:lang w:val="sr-Latn-CS"/>
        </w:rPr>
        <w:t xml:space="preserve"> 1911.; </w:t>
      </w:r>
      <w:r w:rsidR="00583ADD">
        <w:rPr>
          <w:noProof/>
          <w:lang w:val="sr-Latn-CS"/>
        </w:rPr>
        <w:t xml:space="preserve">Article </w:t>
      </w:r>
      <w:r w:rsidRPr="0069439C">
        <w:rPr>
          <w:noProof/>
          <w:lang w:val="sr-Latn-CS"/>
        </w:rPr>
        <w:t xml:space="preserve">89 </w:t>
      </w:r>
      <w:r w:rsidR="00583ADD">
        <w:rPr>
          <w:noProof/>
          <w:lang w:val="sr-Latn-CS"/>
        </w:rPr>
        <w:t xml:space="preserve">paragraph </w:t>
      </w:r>
      <w:r w:rsidRPr="0069439C">
        <w:rPr>
          <w:noProof/>
          <w:lang w:val="sr-Latn-CS"/>
        </w:rPr>
        <w:t xml:space="preserve">2 </w:t>
      </w:r>
      <w:r w:rsidRPr="0069439C">
        <w:rPr>
          <w:i/>
          <w:noProof/>
          <w:lang w:val="sr-Latn-CS"/>
        </w:rPr>
        <w:t>Road Traffic Regulation Act</w:t>
      </w:r>
      <w:r w:rsidRPr="0069439C">
        <w:rPr>
          <w:noProof/>
          <w:lang w:val="sr-Latn-CS"/>
        </w:rPr>
        <w:t xml:space="preserve"> 1984.; </w:t>
      </w:r>
      <w:r w:rsidR="00583ADD">
        <w:rPr>
          <w:noProof/>
          <w:lang w:val="sr-Latn-CS"/>
        </w:rPr>
        <w:t xml:space="preserve">Article </w:t>
      </w:r>
      <w:r w:rsidRPr="0069439C">
        <w:rPr>
          <w:noProof/>
          <w:lang w:val="sr-Latn-CS"/>
        </w:rPr>
        <w:t xml:space="preserve">32 </w:t>
      </w:r>
      <w:r w:rsidRPr="0069439C">
        <w:rPr>
          <w:i/>
          <w:noProof/>
          <w:lang w:val="sr-Latn-CS"/>
        </w:rPr>
        <w:t xml:space="preserve">Criminal Justice and Public Order Act </w:t>
      </w:r>
      <w:r w:rsidRPr="0069439C">
        <w:rPr>
          <w:noProof/>
          <w:lang w:val="sr-Latn-CS"/>
        </w:rPr>
        <w:t xml:space="preserve">1994.; </w:t>
      </w:r>
      <w:r w:rsidR="00583ADD">
        <w:rPr>
          <w:noProof/>
          <w:lang w:val="sr-Latn-CS"/>
        </w:rPr>
        <w:t xml:space="preserve">Article </w:t>
      </w:r>
      <w:r w:rsidRPr="0069439C">
        <w:rPr>
          <w:noProof/>
          <w:lang w:val="sr-Latn-CS"/>
        </w:rPr>
        <w:t xml:space="preserve">77 Police and Criminal Evidence Act 1984. </w:t>
      </w:r>
      <w:r w:rsidR="00583ADD">
        <w:rPr>
          <w:noProof/>
          <w:lang w:val="sr-Latn-CS"/>
        </w:rPr>
        <w:t xml:space="preserve">and Article </w:t>
      </w:r>
      <w:r w:rsidRPr="0069439C">
        <w:rPr>
          <w:noProof/>
          <w:lang w:val="sr-Latn-CS"/>
        </w:rPr>
        <w:t xml:space="preserve">34 </w:t>
      </w:r>
      <w:r w:rsidRPr="0069439C">
        <w:rPr>
          <w:i/>
          <w:noProof/>
          <w:lang w:val="sr-Latn-CS"/>
        </w:rPr>
        <w:t>Criminal Justice Act</w:t>
      </w:r>
      <w:r w:rsidRPr="0069439C">
        <w:rPr>
          <w:noProof/>
          <w:lang w:val="sr-Latn-CS"/>
        </w:rPr>
        <w:t xml:space="preserve"> 1988.</w:t>
      </w:r>
    </w:p>
  </w:footnote>
  <w:footnote w:id="32">
    <w:p w:rsidR="009E2777" w:rsidRDefault="009E2777" w:rsidP="00C37456">
      <w:pPr>
        <w:pStyle w:val="FootnoteText"/>
        <w:jc w:val="both"/>
      </w:pPr>
      <w:r>
        <w:rPr>
          <w:rStyle w:val="FootnoteReference"/>
        </w:rPr>
        <w:footnoteRef/>
      </w:r>
      <w:r>
        <w:t xml:space="preserve"> </w:t>
      </w:r>
      <w:r w:rsidR="00100F93">
        <w:t>For example,</w:t>
      </w:r>
      <w:r>
        <w:t xml:space="preserve"> Adrian </w:t>
      </w:r>
      <w:r w:rsidRPr="008B21CB">
        <w:t xml:space="preserve">Zuckermann, </w:t>
      </w:r>
      <w:r w:rsidRPr="00932EE8">
        <w:rPr>
          <w:i/>
        </w:rPr>
        <w:t>The Principles of Criminal Evidence</w:t>
      </w:r>
      <w:r w:rsidRPr="008B21CB">
        <w:t xml:space="preserve"> </w:t>
      </w:r>
      <w:r>
        <w:t>(</w:t>
      </w:r>
      <w:r w:rsidRPr="008B21CB">
        <w:t>Clarendo</w:t>
      </w:r>
      <w:r>
        <w:t>n Press, Oxford 1989)</w:t>
      </w:r>
      <w:r w:rsidRPr="008B21CB">
        <w:t>, 49.</w:t>
      </w:r>
    </w:p>
  </w:footnote>
  <w:footnote w:id="33">
    <w:p w:rsidR="00D05848" w:rsidRPr="00583ADD" w:rsidRDefault="00D05848" w:rsidP="00C37456">
      <w:pPr>
        <w:pStyle w:val="FootnoteText"/>
        <w:jc w:val="both"/>
        <w:rPr>
          <w:noProof/>
          <w:lang w:val="sr-Latn-CS"/>
        </w:rPr>
      </w:pPr>
      <w:r w:rsidRPr="00583ADD">
        <w:rPr>
          <w:rStyle w:val="FootnoteReference"/>
          <w:noProof/>
          <w:lang w:val="sr-Latn-CS"/>
        </w:rPr>
        <w:footnoteRef/>
      </w:r>
      <w:r w:rsidRPr="00583ADD">
        <w:rPr>
          <w:noProof/>
          <w:lang w:val="sr-Latn-CS"/>
        </w:rPr>
        <w:t xml:space="preserve"> </w:t>
      </w:r>
      <w:r w:rsidR="00583ADD">
        <w:rPr>
          <w:noProof/>
          <w:lang w:val="sr-Latn-CS"/>
        </w:rPr>
        <w:t>See</w:t>
      </w:r>
      <w:r w:rsidRPr="00583ADD">
        <w:rPr>
          <w:noProof/>
          <w:lang w:val="sr-Latn-CS"/>
        </w:rPr>
        <w:t xml:space="preserve"> Tim Goddard, Randolph R.Myers, „Against evidence-based oppression: Marginalized youth and the politics of risk-based assessment and intervention“</w:t>
      </w:r>
      <w:r w:rsidRPr="00583ADD">
        <w:rPr>
          <w:i/>
          <w:noProof/>
          <w:lang w:val="sr-Latn-CS"/>
        </w:rPr>
        <w:t>, Theoretical Criminology, Florida International University USA</w:t>
      </w:r>
      <w:r w:rsidRPr="00583ADD">
        <w:rPr>
          <w:noProof/>
          <w:lang w:val="sr-Latn-CS"/>
        </w:rPr>
        <w:t>, Volume: 21 issue: 2, 2016, 151-167.</w:t>
      </w:r>
    </w:p>
  </w:footnote>
  <w:footnote w:id="34">
    <w:p w:rsidR="00D05848" w:rsidRPr="00583ADD" w:rsidRDefault="00D05848" w:rsidP="00C37456">
      <w:pPr>
        <w:pStyle w:val="FootnoteText"/>
        <w:jc w:val="both"/>
        <w:rPr>
          <w:noProof/>
          <w:lang w:val="sr-Latn-CS"/>
        </w:rPr>
      </w:pPr>
      <w:r w:rsidRPr="00583ADD">
        <w:rPr>
          <w:rStyle w:val="FootnoteReference"/>
          <w:noProof/>
          <w:lang w:val="sr-Latn-CS"/>
        </w:rPr>
        <w:footnoteRef/>
      </w:r>
      <w:r w:rsidRPr="00583ADD">
        <w:rPr>
          <w:noProof/>
          <w:lang w:val="sr-Latn-CS"/>
        </w:rPr>
        <w:t xml:space="preserve"> </w:t>
      </w:r>
      <w:r w:rsidR="00583ADD">
        <w:rPr>
          <w:noProof/>
          <w:lang w:val="sr-Latn-CS"/>
        </w:rPr>
        <w:t xml:space="preserve">See Article </w:t>
      </w:r>
      <w:r w:rsidRPr="00583ADD">
        <w:rPr>
          <w:noProof/>
          <w:lang w:val="sr-Latn-CS"/>
        </w:rPr>
        <w:t xml:space="preserve">76 </w:t>
      </w:r>
      <w:r w:rsidRPr="00583ADD">
        <w:rPr>
          <w:i/>
          <w:noProof/>
          <w:lang w:val="sr-Latn-CS"/>
        </w:rPr>
        <w:t>The Police and Criminal Evidence Act</w:t>
      </w:r>
      <w:r w:rsidRPr="00583ADD">
        <w:rPr>
          <w:noProof/>
          <w:lang w:val="sr-Latn-CS"/>
        </w:rPr>
        <w:t xml:space="preserve"> 1984.</w:t>
      </w:r>
    </w:p>
  </w:footnote>
  <w:footnote w:id="35">
    <w:p w:rsidR="00DD3001" w:rsidRPr="00583ADD" w:rsidRDefault="00DD3001" w:rsidP="00C37456">
      <w:pPr>
        <w:pStyle w:val="FootnoteText"/>
        <w:jc w:val="both"/>
        <w:rPr>
          <w:noProof/>
          <w:lang w:val="sr-Latn-CS"/>
        </w:rPr>
      </w:pPr>
      <w:r w:rsidRPr="00583ADD">
        <w:rPr>
          <w:rStyle w:val="FootnoteReference"/>
          <w:noProof/>
          <w:lang w:val="sr-Latn-CS"/>
        </w:rPr>
        <w:footnoteRef/>
      </w:r>
      <w:r w:rsidRPr="00583ADD">
        <w:rPr>
          <w:noProof/>
          <w:lang w:val="sr-Latn-CS"/>
        </w:rPr>
        <w:t xml:space="preserve"> </w:t>
      </w:r>
      <w:r w:rsidR="00583ADD">
        <w:rPr>
          <w:noProof/>
          <w:lang w:val="sr-Latn-CS"/>
        </w:rPr>
        <w:t xml:space="preserve">See Article </w:t>
      </w:r>
      <w:r w:rsidRPr="00583ADD">
        <w:rPr>
          <w:noProof/>
          <w:lang w:val="sr-Latn-CS"/>
        </w:rPr>
        <w:t xml:space="preserve">78 </w:t>
      </w:r>
      <w:r w:rsidR="00583ADD">
        <w:rPr>
          <w:noProof/>
          <w:lang w:val="sr-Latn-CS"/>
        </w:rPr>
        <w:t xml:space="preserve">paragraph </w:t>
      </w:r>
      <w:r w:rsidRPr="00583ADD">
        <w:rPr>
          <w:noProof/>
          <w:lang w:val="sr-Latn-CS"/>
        </w:rPr>
        <w:t xml:space="preserve">1 </w:t>
      </w:r>
      <w:r w:rsidRPr="00583ADD">
        <w:rPr>
          <w:i/>
          <w:noProof/>
          <w:lang w:val="sr-Latn-CS"/>
        </w:rPr>
        <w:t>The Police and Criminal Evidence Act</w:t>
      </w:r>
      <w:r w:rsidRPr="00583ADD">
        <w:rPr>
          <w:noProof/>
          <w:lang w:val="sr-Latn-CS"/>
        </w:rPr>
        <w:t xml:space="preserve"> 1984.</w:t>
      </w:r>
    </w:p>
  </w:footnote>
  <w:footnote w:id="36">
    <w:p w:rsidR="00B46FC9" w:rsidRPr="00583ADD" w:rsidRDefault="00B46FC9" w:rsidP="00C37456">
      <w:pPr>
        <w:pStyle w:val="FootnoteText"/>
        <w:jc w:val="both"/>
        <w:rPr>
          <w:noProof/>
          <w:lang w:val="sr-Latn-CS"/>
        </w:rPr>
      </w:pPr>
      <w:r w:rsidRPr="00583ADD">
        <w:rPr>
          <w:rStyle w:val="FootnoteReference"/>
          <w:noProof/>
          <w:lang w:val="sr-Latn-CS"/>
        </w:rPr>
        <w:footnoteRef/>
      </w:r>
      <w:r w:rsidRPr="00583ADD">
        <w:rPr>
          <w:noProof/>
          <w:lang w:val="sr-Latn-CS"/>
        </w:rPr>
        <w:t xml:space="preserve"> </w:t>
      </w:r>
      <w:r w:rsidR="00583ADD">
        <w:rPr>
          <w:noProof/>
          <w:lang w:val="sr-Latn-CS"/>
        </w:rPr>
        <w:t xml:space="preserve">The fairness of the entire proceedings is observed. </w:t>
      </w:r>
      <w:r w:rsidRPr="00583ADD">
        <w:rPr>
          <w:i/>
          <w:noProof/>
          <w:lang w:val="sr-Latn-CS"/>
        </w:rPr>
        <w:t>Ratio</w:t>
      </w:r>
      <w:r w:rsidRPr="00583ADD">
        <w:rPr>
          <w:noProof/>
          <w:lang w:val="sr-Latn-CS"/>
        </w:rPr>
        <w:t xml:space="preserve"> </w:t>
      </w:r>
      <w:r w:rsidR="00583ADD">
        <w:rPr>
          <w:noProof/>
          <w:lang w:val="sr-Latn-CS"/>
        </w:rPr>
        <w:t>of such conducts greatly reminds of the decision-making of the European Court of Human Rights</w:t>
      </w:r>
      <w:r w:rsidRPr="00583ADD">
        <w:rPr>
          <w:noProof/>
          <w:lang w:val="sr-Latn-CS"/>
        </w:rPr>
        <w:t>.</w:t>
      </w:r>
    </w:p>
  </w:footnote>
  <w:footnote w:id="37">
    <w:p w:rsidR="000442E8" w:rsidRPr="00583ADD" w:rsidRDefault="000442E8" w:rsidP="00C37456">
      <w:pPr>
        <w:pStyle w:val="FootnoteText"/>
        <w:jc w:val="both"/>
        <w:rPr>
          <w:lang w:val="sr-Latn-CS"/>
        </w:rPr>
      </w:pPr>
      <w:r w:rsidRPr="00583ADD">
        <w:rPr>
          <w:rStyle w:val="FootnoteReference"/>
          <w:noProof/>
          <w:lang w:val="sr-Latn-CS"/>
        </w:rPr>
        <w:footnoteRef/>
      </w:r>
      <w:r w:rsidRPr="00583ADD">
        <w:rPr>
          <w:noProof/>
          <w:lang w:val="sr-Latn-CS"/>
        </w:rPr>
        <w:t xml:space="preserve"> Adrian Keane, </w:t>
      </w:r>
      <w:r w:rsidRPr="00583ADD">
        <w:rPr>
          <w:i/>
          <w:noProof/>
          <w:lang w:val="sr-Latn-CS"/>
        </w:rPr>
        <w:t>The Modern Law of Evidence</w:t>
      </w:r>
      <w:r w:rsidRPr="00583ADD">
        <w:rPr>
          <w:noProof/>
          <w:lang w:val="sr-Latn-CS"/>
        </w:rPr>
        <w:t xml:space="preserve"> (Oxford: Oxford University Press, 2008), 62-63.</w:t>
      </w:r>
    </w:p>
  </w:footnote>
  <w:footnote w:id="38">
    <w:p w:rsidR="0078789C" w:rsidRPr="004123E4" w:rsidRDefault="0078789C" w:rsidP="004363C1">
      <w:pPr>
        <w:keepNext/>
        <w:keepLines/>
        <w:spacing w:before="240" w:after="0"/>
        <w:jc w:val="both"/>
        <w:outlineLvl w:val="0"/>
        <w:rPr>
          <w:rFonts w:ascii="Times New Roman" w:eastAsiaTheme="majorEastAsia" w:hAnsi="Times New Roman" w:cstheme="majorBidi"/>
          <w:i/>
          <w:sz w:val="20"/>
          <w:szCs w:val="20"/>
        </w:rPr>
      </w:pPr>
      <w:r w:rsidRPr="004123E4">
        <w:rPr>
          <w:rStyle w:val="FootnoteReference"/>
          <w:sz w:val="20"/>
          <w:szCs w:val="20"/>
        </w:rPr>
        <w:footnoteRef/>
      </w:r>
      <w:r w:rsidRPr="004123E4">
        <w:rPr>
          <w:sz w:val="20"/>
          <w:szCs w:val="20"/>
        </w:rPr>
        <w:t xml:space="preserve"> </w:t>
      </w:r>
      <w:proofErr w:type="spellStart"/>
      <w:proofErr w:type="gramStart"/>
      <w:r w:rsidRPr="004123E4">
        <w:rPr>
          <w:rFonts w:ascii="Times New Roman" w:eastAsiaTheme="majorEastAsia" w:hAnsi="Times New Roman" w:cstheme="majorBidi"/>
          <w:sz w:val="20"/>
          <w:szCs w:val="20"/>
        </w:rPr>
        <w:t>Судија</w:t>
      </w:r>
      <w:proofErr w:type="spellEnd"/>
      <w:r w:rsidRPr="004123E4">
        <w:rPr>
          <w:rFonts w:ascii="Times New Roman" w:eastAsiaTheme="majorEastAsia" w:hAnsi="Times New Roman" w:cstheme="majorBidi"/>
          <w:sz w:val="20"/>
          <w:szCs w:val="20"/>
        </w:rPr>
        <w:t xml:space="preserve"> </w:t>
      </w:r>
      <w:r w:rsidRPr="004123E4">
        <w:rPr>
          <w:rFonts w:ascii="Times New Roman" w:eastAsiaTheme="majorEastAsia" w:hAnsi="Times New Roman" w:cstheme="majorBidi"/>
          <w:sz w:val="20"/>
          <w:szCs w:val="20"/>
          <w:lang w:val="bs-Latn-BA"/>
        </w:rPr>
        <w:t>Уставн</w:t>
      </w:r>
      <w:proofErr w:type="spellStart"/>
      <w:r w:rsidRPr="004123E4">
        <w:rPr>
          <w:rFonts w:ascii="Times New Roman" w:eastAsiaTheme="majorEastAsia" w:hAnsi="Times New Roman" w:cstheme="majorBidi"/>
          <w:sz w:val="20"/>
          <w:szCs w:val="20"/>
        </w:rPr>
        <w:t>ог</w:t>
      </w:r>
      <w:proofErr w:type="spellEnd"/>
      <w:r w:rsidRPr="004123E4">
        <w:rPr>
          <w:rFonts w:ascii="Times New Roman" w:eastAsiaTheme="majorEastAsia" w:hAnsi="Times New Roman" w:cstheme="majorBidi"/>
          <w:sz w:val="20"/>
          <w:szCs w:val="20"/>
          <w:lang w:val="bs-Latn-BA"/>
        </w:rPr>
        <w:t xml:space="preserve"> суд</w:t>
      </w:r>
      <w:r w:rsidRPr="004123E4">
        <w:rPr>
          <w:rFonts w:ascii="Times New Roman" w:eastAsiaTheme="majorEastAsia" w:hAnsi="Times New Roman" w:cstheme="majorBidi"/>
          <w:sz w:val="20"/>
          <w:szCs w:val="20"/>
        </w:rPr>
        <w:t>а</w:t>
      </w:r>
      <w:r w:rsidRPr="004123E4">
        <w:rPr>
          <w:rFonts w:ascii="Times New Roman" w:eastAsiaTheme="majorEastAsia" w:hAnsi="Times New Roman" w:cstheme="majorBidi"/>
          <w:sz w:val="20"/>
          <w:szCs w:val="20"/>
          <w:lang w:val="bs-Latn-BA"/>
        </w:rPr>
        <w:t xml:space="preserve"> Босне и Херцеговине</w:t>
      </w:r>
      <w:r w:rsidRPr="004123E4">
        <w:rPr>
          <w:rFonts w:ascii="Times New Roman" w:eastAsiaTheme="majorEastAsia" w:hAnsi="Times New Roman" w:cstheme="majorBidi"/>
          <w:sz w:val="20"/>
          <w:szCs w:val="20"/>
        </w:rPr>
        <w:t>,</w:t>
      </w:r>
      <w:r w:rsidRPr="004123E4">
        <w:rPr>
          <w:rFonts w:ascii="Times New Roman" w:eastAsiaTheme="majorEastAsia" w:hAnsi="Times New Roman" w:cstheme="majorBidi"/>
          <w:sz w:val="20"/>
          <w:szCs w:val="20"/>
          <w:lang w:val="bs-Latn-BA"/>
        </w:rPr>
        <w:t xml:space="preserve"> </w:t>
      </w:r>
      <w:proofErr w:type="spellStart"/>
      <w:r w:rsidRPr="004123E4">
        <w:rPr>
          <w:rFonts w:ascii="Times New Roman" w:eastAsiaTheme="majorEastAsia" w:hAnsi="Times New Roman" w:cstheme="majorBidi"/>
          <w:sz w:val="20"/>
          <w:szCs w:val="20"/>
        </w:rPr>
        <w:t>редовни</w:t>
      </w:r>
      <w:proofErr w:type="spellEnd"/>
      <w:r w:rsidRPr="004123E4">
        <w:rPr>
          <w:rFonts w:ascii="Times New Roman" w:eastAsiaTheme="majorEastAsia" w:hAnsi="Times New Roman" w:cstheme="majorBidi"/>
          <w:sz w:val="20"/>
          <w:szCs w:val="20"/>
        </w:rPr>
        <w:t xml:space="preserve"> </w:t>
      </w:r>
      <w:proofErr w:type="spellStart"/>
      <w:r w:rsidRPr="004123E4">
        <w:rPr>
          <w:rFonts w:ascii="Times New Roman" w:eastAsiaTheme="majorEastAsia" w:hAnsi="Times New Roman" w:cstheme="majorBidi"/>
          <w:sz w:val="20"/>
          <w:szCs w:val="20"/>
        </w:rPr>
        <w:t>професор</w:t>
      </w:r>
      <w:proofErr w:type="spellEnd"/>
      <w:r w:rsidRPr="004123E4">
        <w:rPr>
          <w:rFonts w:ascii="Times New Roman" w:eastAsiaTheme="majorEastAsia" w:hAnsi="Times New Roman" w:cstheme="majorBidi"/>
          <w:sz w:val="20"/>
          <w:szCs w:val="20"/>
        </w:rPr>
        <w:t xml:space="preserve"> </w:t>
      </w:r>
      <w:r w:rsidRPr="004123E4">
        <w:rPr>
          <w:rFonts w:ascii="Times New Roman" w:eastAsiaTheme="majorEastAsia" w:hAnsi="Times New Roman" w:cstheme="majorBidi"/>
          <w:sz w:val="20"/>
          <w:szCs w:val="20"/>
          <w:lang w:val="bs-Latn-BA"/>
        </w:rPr>
        <w:t>Правн</w:t>
      </w:r>
      <w:proofErr w:type="spellStart"/>
      <w:r w:rsidRPr="004123E4">
        <w:rPr>
          <w:rFonts w:ascii="Times New Roman" w:eastAsiaTheme="majorEastAsia" w:hAnsi="Times New Roman" w:cstheme="majorBidi"/>
          <w:sz w:val="20"/>
          <w:szCs w:val="20"/>
        </w:rPr>
        <w:t>ог</w:t>
      </w:r>
      <w:proofErr w:type="spellEnd"/>
      <w:r w:rsidRPr="004123E4">
        <w:rPr>
          <w:rFonts w:ascii="Times New Roman" w:eastAsiaTheme="majorEastAsia" w:hAnsi="Times New Roman" w:cstheme="majorBidi"/>
          <w:sz w:val="20"/>
          <w:szCs w:val="20"/>
          <w:lang w:val="bs-Latn-BA"/>
        </w:rPr>
        <w:t xml:space="preserve"> факултет</w:t>
      </w:r>
      <w:r w:rsidRPr="004123E4">
        <w:rPr>
          <w:rFonts w:ascii="Times New Roman" w:eastAsiaTheme="majorEastAsia" w:hAnsi="Times New Roman" w:cstheme="majorBidi"/>
          <w:sz w:val="20"/>
          <w:szCs w:val="20"/>
        </w:rPr>
        <w:t>а</w:t>
      </w:r>
      <w:r w:rsidRPr="004123E4">
        <w:rPr>
          <w:rFonts w:ascii="Times New Roman" w:eastAsiaTheme="majorEastAsia" w:hAnsi="Times New Roman" w:cstheme="majorBidi"/>
          <w:sz w:val="20"/>
          <w:szCs w:val="20"/>
          <w:lang w:val="bs-Latn-BA"/>
        </w:rPr>
        <w:t xml:space="preserve"> Универзитета у Бањој Луци</w:t>
      </w:r>
      <w:r w:rsidRPr="004123E4">
        <w:rPr>
          <w:rFonts w:ascii="Times New Roman" w:eastAsiaTheme="majorEastAsia" w:hAnsi="Times New Roman" w:cstheme="majorBidi"/>
          <w:sz w:val="20"/>
          <w:szCs w:val="20"/>
        </w:rPr>
        <w:t xml:space="preserve"> и </w:t>
      </w:r>
      <w:proofErr w:type="spellStart"/>
      <w:r w:rsidRPr="004123E4">
        <w:rPr>
          <w:rFonts w:ascii="Times New Roman" w:eastAsiaTheme="majorEastAsia" w:hAnsi="Times New Roman" w:cstheme="majorBidi"/>
          <w:sz w:val="20"/>
          <w:szCs w:val="20"/>
        </w:rPr>
        <w:t>редовни</w:t>
      </w:r>
      <w:proofErr w:type="spellEnd"/>
      <w:r w:rsidRPr="004123E4">
        <w:rPr>
          <w:rFonts w:ascii="Times New Roman" w:eastAsiaTheme="majorEastAsia" w:hAnsi="Times New Roman" w:cstheme="majorBidi"/>
          <w:sz w:val="20"/>
          <w:szCs w:val="20"/>
        </w:rPr>
        <w:t xml:space="preserve"> </w:t>
      </w:r>
      <w:proofErr w:type="spellStart"/>
      <w:r w:rsidRPr="004123E4">
        <w:rPr>
          <w:rFonts w:ascii="Times New Roman" w:eastAsiaTheme="majorEastAsia" w:hAnsi="Times New Roman" w:cstheme="majorBidi"/>
          <w:sz w:val="20"/>
          <w:szCs w:val="20"/>
        </w:rPr>
        <w:t>члан</w:t>
      </w:r>
      <w:proofErr w:type="spellEnd"/>
      <w:r w:rsidRPr="004123E4">
        <w:rPr>
          <w:rFonts w:ascii="Times New Roman" w:eastAsiaTheme="majorEastAsia" w:hAnsi="Times New Roman" w:cstheme="majorBidi"/>
          <w:sz w:val="20"/>
          <w:szCs w:val="20"/>
        </w:rPr>
        <w:t xml:space="preserve"> </w:t>
      </w:r>
      <w:proofErr w:type="spellStart"/>
      <w:r w:rsidRPr="004123E4">
        <w:rPr>
          <w:rFonts w:ascii="Times New Roman" w:eastAsiaTheme="majorEastAsia" w:hAnsi="Times New Roman" w:cstheme="majorBidi"/>
          <w:sz w:val="20"/>
          <w:szCs w:val="20"/>
        </w:rPr>
        <w:t>Академије</w:t>
      </w:r>
      <w:proofErr w:type="spellEnd"/>
      <w:r w:rsidRPr="004123E4">
        <w:rPr>
          <w:rFonts w:ascii="Times New Roman" w:eastAsiaTheme="majorEastAsia" w:hAnsi="Times New Roman" w:cstheme="majorBidi"/>
          <w:sz w:val="20"/>
          <w:szCs w:val="20"/>
        </w:rPr>
        <w:t xml:space="preserve"> </w:t>
      </w:r>
      <w:proofErr w:type="spellStart"/>
      <w:r w:rsidRPr="004123E4">
        <w:rPr>
          <w:rFonts w:ascii="Times New Roman" w:eastAsiaTheme="majorEastAsia" w:hAnsi="Times New Roman" w:cstheme="majorBidi"/>
          <w:sz w:val="20"/>
          <w:szCs w:val="20"/>
        </w:rPr>
        <w:t>наука</w:t>
      </w:r>
      <w:proofErr w:type="spellEnd"/>
      <w:r w:rsidRPr="004123E4">
        <w:rPr>
          <w:rFonts w:ascii="Times New Roman" w:eastAsiaTheme="majorEastAsia" w:hAnsi="Times New Roman" w:cstheme="majorBidi"/>
          <w:sz w:val="20"/>
          <w:szCs w:val="20"/>
        </w:rPr>
        <w:t xml:space="preserve"> и </w:t>
      </w:r>
      <w:proofErr w:type="spellStart"/>
      <w:r w:rsidRPr="004123E4">
        <w:rPr>
          <w:rFonts w:ascii="Times New Roman" w:eastAsiaTheme="majorEastAsia" w:hAnsi="Times New Roman" w:cstheme="majorBidi"/>
          <w:sz w:val="20"/>
          <w:szCs w:val="20"/>
        </w:rPr>
        <w:t>умјетности</w:t>
      </w:r>
      <w:proofErr w:type="spellEnd"/>
      <w:r w:rsidRPr="004123E4">
        <w:rPr>
          <w:rFonts w:ascii="Times New Roman" w:eastAsiaTheme="majorEastAsia" w:hAnsi="Times New Roman" w:cstheme="majorBidi"/>
          <w:sz w:val="20"/>
          <w:szCs w:val="20"/>
          <w:lang w:val="bs-Latn-BA"/>
        </w:rPr>
        <w:t xml:space="preserve"> Босне и Херцеговине</w:t>
      </w:r>
      <w:r w:rsidRPr="004123E4">
        <w:rPr>
          <w:rFonts w:ascii="Times New Roman" w:eastAsiaTheme="majorEastAsia" w:hAnsi="Times New Roman" w:cstheme="majorBidi"/>
          <w:sz w:val="20"/>
          <w:szCs w:val="20"/>
        </w:rPr>
        <w:t xml:space="preserve">, </w:t>
      </w:r>
      <w:r w:rsidRPr="004123E4">
        <w:rPr>
          <w:rFonts w:ascii="Times New Roman" w:eastAsiaTheme="majorEastAsia" w:hAnsi="Times New Roman" w:cstheme="majorBidi"/>
          <w:i/>
          <w:sz w:val="20"/>
          <w:szCs w:val="20"/>
        </w:rPr>
        <w:t>miodrag.simovic@ustavnisud.ba</w:t>
      </w:r>
      <w:r w:rsidRPr="004123E4">
        <w:rPr>
          <w:rFonts w:ascii="Times New Roman" w:eastAsiaTheme="majorEastAsia" w:hAnsi="Times New Roman" w:cstheme="majorBidi"/>
          <w:sz w:val="20"/>
          <w:szCs w:val="20"/>
        </w:rPr>
        <w:t>.</w:t>
      </w:r>
      <w:proofErr w:type="gramEnd"/>
      <w:r w:rsidRPr="004123E4">
        <w:rPr>
          <w:rFonts w:ascii="Times New Roman" w:eastAsiaTheme="majorEastAsia" w:hAnsi="Times New Roman" w:cstheme="majorBidi"/>
          <w:i/>
          <w:sz w:val="20"/>
          <w:szCs w:val="20"/>
        </w:rPr>
        <w:t xml:space="preserve"> </w:t>
      </w:r>
    </w:p>
  </w:footnote>
  <w:footnote w:id="39">
    <w:p w:rsidR="0078789C" w:rsidRPr="004966B9" w:rsidRDefault="0078789C" w:rsidP="004363C1">
      <w:pPr>
        <w:pStyle w:val="FootnoteText"/>
      </w:pPr>
      <w:r w:rsidRPr="004966B9">
        <w:rPr>
          <w:rStyle w:val="FootnoteReference"/>
        </w:rPr>
        <w:footnoteRef/>
      </w:r>
      <w:r w:rsidRPr="004966B9">
        <w:t xml:space="preserve">  </w:t>
      </w:r>
      <w:r>
        <w:t>Магистар</w:t>
      </w:r>
      <w:r w:rsidRPr="004966B9">
        <w:t xml:space="preserve"> </w:t>
      </w:r>
      <w:r>
        <w:t>права</w:t>
      </w:r>
      <w:r w:rsidRPr="004966B9">
        <w:t xml:space="preserve">, </w:t>
      </w:r>
      <w:r>
        <w:t xml:space="preserve">виши асистент, </w:t>
      </w:r>
      <w:r w:rsidRPr="004966B9">
        <w:rPr>
          <w:i/>
        </w:rPr>
        <w:t>gagula.amna@yahoo.com</w:t>
      </w:r>
      <w:r>
        <w:rPr>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3735"/>
    <w:multiLevelType w:val="multilevel"/>
    <w:tmpl w:val="541082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0A1658"/>
    <w:multiLevelType w:val="multilevel"/>
    <w:tmpl w:val="A4CE12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EE2541"/>
    <w:multiLevelType w:val="hybridMultilevel"/>
    <w:tmpl w:val="D5EA2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10945"/>
    <w:multiLevelType w:val="multilevel"/>
    <w:tmpl w:val="8D1E3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F53E3D"/>
    <w:multiLevelType w:val="hybridMultilevel"/>
    <w:tmpl w:val="C06C7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91585"/>
    <w:multiLevelType w:val="multilevel"/>
    <w:tmpl w:val="87A43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974C43"/>
    <w:multiLevelType w:val="hybridMultilevel"/>
    <w:tmpl w:val="DC146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7E0D18"/>
    <w:multiLevelType w:val="multilevel"/>
    <w:tmpl w:val="E2DCC8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513DC5"/>
    <w:multiLevelType w:val="multilevel"/>
    <w:tmpl w:val="E92AAE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B126FC"/>
    <w:multiLevelType w:val="multilevel"/>
    <w:tmpl w:val="95846F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594F0A"/>
    <w:multiLevelType w:val="hybridMultilevel"/>
    <w:tmpl w:val="D534A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FD6D3D"/>
    <w:multiLevelType w:val="hybridMultilevel"/>
    <w:tmpl w:val="C6BA4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5B6ED2"/>
    <w:multiLevelType w:val="multilevel"/>
    <w:tmpl w:val="9E1079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5977EB"/>
    <w:multiLevelType w:val="multilevel"/>
    <w:tmpl w:val="7D548F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C45AD2"/>
    <w:multiLevelType w:val="multilevel"/>
    <w:tmpl w:val="06BA8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1555E8"/>
    <w:multiLevelType w:val="multilevel"/>
    <w:tmpl w:val="D5E06B1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F86A2A"/>
    <w:multiLevelType w:val="hybridMultilevel"/>
    <w:tmpl w:val="10BC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926520"/>
    <w:multiLevelType w:val="multilevel"/>
    <w:tmpl w:val="7B6EAA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6442B1"/>
    <w:multiLevelType w:val="hybridMultilevel"/>
    <w:tmpl w:val="D8CA5F3E"/>
    <w:lvl w:ilvl="0" w:tplc="4C72434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C53DB4"/>
    <w:multiLevelType w:val="multilevel"/>
    <w:tmpl w:val="AD5AD82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270629"/>
    <w:multiLevelType w:val="hybridMultilevel"/>
    <w:tmpl w:val="0C94D702"/>
    <w:lvl w:ilvl="0" w:tplc="6ADE604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917667"/>
    <w:multiLevelType w:val="multilevel"/>
    <w:tmpl w:val="2DC687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BF254D"/>
    <w:multiLevelType w:val="multilevel"/>
    <w:tmpl w:val="79CE7A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1E6061"/>
    <w:multiLevelType w:val="multilevel"/>
    <w:tmpl w:val="47FAAFD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B44309"/>
    <w:multiLevelType w:val="multilevel"/>
    <w:tmpl w:val="CC56AC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78C0A45"/>
    <w:multiLevelType w:val="hybridMultilevel"/>
    <w:tmpl w:val="417A3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9719D5"/>
    <w:multiLevelType w:val="multilevel"/>
    <w:tmpl w:val="6BC62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FD5B65"/>
    <w:multiLevelType w:val="hybridMultilevel"/>
    <w:tmpl w:val="DC146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10"/>
  </w:num>
  <w:num w:numId="4">
    <w:abstractNumId w:val="6"/>
  </w:num>
  <w:num w:numId="5">
    <w:abstractNumId w:val="25"/>
  </w:num>
  <w:num w:numId="6">
    <w:abstractNumId w:val="16"/>
  </w:num>
  <w:num w:numId="7">
    <w:abstractNumId w:val="18"/>
  </w:num>
  <w:num w:numId="8">
    <w:abstractNumId w:val="2"/>
  </w:num>
  <w:num w:numId="9">
    <w:abstractNumId w:val="14"/>
  </w:num>
  <w:num w:numId="10">
    <w:abstractNumId w:val="22"/>
  </w:num>
  <w:num w:numId="11">
    <w:abstractNumId w:val="9"/>
  </w:num>
  <w:num w:numId="12">
    <w:abstractNumId w:val="12"/>
  </w:num>
  <w:num w:numId="13">
    <w:abstractNumId w:val="17"/>
  </w:num>
  <w:num w:numId="14">
    <w:abstractNumId w:val="0"/>
  </w:num>
  <w:num w:numId="15">
    <w:abstractNumId w:val="21"/>
  </w:num>
  <w:num w:numId="16">
    <w:abstractNumId w:val="13"/>
  </w:num>
  <w:num w:numId="17">
    <w:abstractNumId w:val="26"/>
  </w:num>
  <w:num w:numId="18">
    <w:abstractNumId w:val="5"/>
  </w:num>
  <w:num w:numId="19">
    <w:abstractNumId w:val="3"/>
  </w:num>
  <w:num w:numId="20">
    <w:abstractNumId w:val="1"/>
  </w:num>
  <w:num w:numId="21">
    <w:abstractNumId w:val="8"/>
  </w:num>
  <w:num w:numId="22">
    <w:abstractNumId w:val="7"/>
  </w:num>
  <w:num w:numId="23">
    <w:abstractNumId w:val="24"/>
  </w:num>
  <w:num w:numId="24">
    <w:abstractNumId w:val="15"/>
  </w:num>
  <w:num w:numId="25">
    <w:abstractNumId w:val="23"/>
  </w:num>
  <w:num w:numId="26">
    <w:abstractNumId w:val="19"/>
  </w:num>
  <w:num w:numId="27">
    <w:abstractNumId w:val="2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ADF"/>
    <w:rsid w:val="00000E0D"/>
    <w:rsid w:val="000105AD"/>
    <w:rsid w:val="00025ADF"/>
    <w:rsid w:val="00030383"/>
    <w:rsid w:val="00035A45"/>
    <w:rsid w:val="000442E8"/>
    <w:rsid w:val="00056623"/>
    <w:rsid w:val="00056A89"/>
    <w:rsid w:val="00067022"/>
    <w:rsid w:val="000861E6"/>
    <w:rsid w:val="00094D69"/>
    <w:rsid w:val="00095709"/>
    <w:rsid w:val="00096705"/>
    <w:rsid w:val="000B0D72"/>
    <w:rsid w:val="000B32E0"/>
    <w:rsid w:val="000C6AFD"/>
    <w:rsid w:val="000D68CD"/>
    <w:rsid w:val="000E26B6"/>
    <w:rsid w:val="000E3C7A"/>
    <w:rsid w:val="000F2072"/>
    <w:rsid w:val="00100F93"/>
    <w:rsid w:val="0011363C"/>
    <w:rsid w:val="00120164"/>
    <w:rsid w:val="00126022"/>
    <w:rsid w:val="00143207"/>
    <w:rsid w:val="00147619"/>
    <w:rsid w:val="001504C9"/>
    <w:rsid w:val="00153DAB"/>
    <w:rsid w:val="0016608D"/>
    <w:rsid w:val="001747D0"/>
    <w:rsid w:val="001879CF"/>
    <w:rsid w:val="00191CB5"/>
    <w:rsid w:val="001B336F"/>
    <w:rsid w:val="001C4B5B"/>
    <w:rsid w:val="001D06DC"/>
    <w:rsid w:val="001D6BE4"/>
    <w:rsid w:val="001E0369"/>
    <w:rsid w:val="001F2114"/>
    <w:rsid w:val="001F2E2F"/>
    <w:rsid w:val="001F3843"/>
    <w:rsid w:val="00207817"/>
    <w:rsid w:val="002323BF"/>
    <w:rsid w:val="002535C1"/>
    <w:rsid w:val="00254454"/>
    <w:rsid w:val="00273A67"/>
    <w:rsid w:val="0027591D"/>
    <w:rsid w:val="002801EF"/>
    <w:rsid w:val="0028454E"/>
    <w:rsid w:val="00290957"/>
    <w:rsid w:val="00291DF3"/>
    <w:rsid w:val="002B1B0B"/>
    <w:rsid w:val="002C5887"/>
    <w:rsid w:val="002F3EEE"/>
    <w:rsid w:val="002F733A"/>
    <w:rsid w:val="00305C32"/>
    <w:rsid w:val="0031168C"/>
    <w:rsid w:val="003119D7"/>
    <w:rsid w:val="00334980"/>
    <w:rsid w:val="003407B6"/>
    <w:rsid w:val="00345791"/>
    <w:rsid w:val="00346A01"/>
    <w:rsid w:val="00363600"/>
    <w:rsid w:val="00363F63"/>
    <w:rsid w:val="00364D40"/>
    <w:rsid w:val="003659F8"/>
    <w:rsid w:val="00372D5F"/>
    <w:rsid w:val="003734DD"/>
    <w:rsid w:val="00375E57"/>
    <w:rsid w:val="00377FBF"/>
    <w:rsid w:val="00392B30"/>
    <w:rsid w:val="003A1B62"/>
    <w:rsid w:val="003A531A"/>
    <w:rsid w:val="003A7C32"/>
    <w:rsid w:val="003B36FB"/>
    <w:rsid w:val="003B7AE7"/>
    <w:rsid w:val="003D6A62"/>
    <w:rsid w:val="003E7D8D"/>
    <w:rsid w:val="00400BA1"/>
    <w:rsid w:val="00404EE3"/>
    <w:rsid w:val="004123E4"/>
    <w:rsid w:val="004203A6"/>
    <w:rsid w:val="0042578E"/>
    <w:rsid w:val="00433831"/>
    <w:rsid w:val="004363C1"/>
    <w:rsid w:val="00457ED9"/>
    <w:rsid w:val="004722FE"/>
    <w:rsid w:val="00475240"/>
    <w:rsid w:val="004966B9"/>
    <w:rsid w:val="004974CC"/>
    <w:rsid w:val="004A0CCF"/>
    <w:rsid w:val="004B27B0"/>
    <w:rsid w:val="004C2564"/>
    <w:rsid w:val="004D2FFB"/>
    <w:rsid w:val="004E1E59"/>
    <w:rsid w:val="004E3FA0"/>
    <w:rsid w:val="004F44B7"/>
    <w:rsid w:val="0050586F"/>
    <w:rsid w:val="00507788"/>
    <w:rsid w:val="005164A3"/>
    <w:rsid w:val="00521774"/>
    <w:rsid w:val="005257F5"/>
    <w:rsid w:val="00536B7B"/>
    <w:rsid w:val="0054357C"/>
    <w:rsid w:val="005605F2"/>
    <w:rsid w:val="0056297E"/>
    <w:rsid w:val="00577E92"/>
    <w:rsid w:val="00583ADD"/>
    <w:rsid w:val="005A6295"/>
    <w:rsid w:val="005B408B"/>
    <w:rsid w:val="005C5DA4"/>
    <w:rsid w:val="005D2074"/>
    <w:rsid w:val="005E3E8F"/>
    <w:rsid w:val="005E6BFF"/>
    <w:rsid w:val="00602B5D"/>
    <w:rsid w:val="0061429A"/>
    <w:rsid w:val="00616A96"/>
    <w:rsid w:val="00626A02"/>
    <w:rsid w:val="00653229"/>
    <w:rsid w:val="00654085"/>
    <w:rsid w:val="00654C35"/>
    <w:rsid w:val="00654C60"/>
    <w:rsid w:val="00680E0F"/>
    <w:rsid w:val="00683D13"/>
    <w:rsid w:val="00685443"/>
    <w:rsid w:val="006878C1"/>
    <w:rsid w:val="006921D7"/>
    <w:rsid w:val="0069439C"/>
    <w:rsid w:val="0069499C"/>
    <w:rsid w:val="0069536B"/>
    <w:rsid w:val="006959B4"/>
    <w:rsid w:val="006C10D1"/>
    <w:rsid w:val="006C1892"/>
    <w:rsid w:val="006C299B"/>
    <w:rsid w:val="006D35B7"/>
    <w:rsid w:val="006D4450"/>
    <w:rsid w:val="006E61C3"/>
    <w:rsid w:val="006F6D57"/>
    <w:rsid w:val="00707F7F"/>
    <w:rsid w:val="007146D4"/>
    <w:rsid w:val="007227B9"/>
    <w:rsid w:val="007565FB"/>
    <w:rsid w:val="00762B73"/>
    <w:rsid w:val="0076447A"/>
    <w:rsid w:val="0077285E"/>
    <w:rsid w:val="00774672"/>
    <w:rsid w:val="0078789C"/>
    <w:rsid w:val="007E017E"/>
    <w:rsid w:val="00811820"/>
    <w:rsid w:val="00812004"/>
    <w:rsid w:val="0083239E"/>
    <w:rsid w:val="0084465E"/>
    <w:rsid w:val="008454AA"/>
    <w:rsid w:val="00875FC8"/>
    <w:rsid w:val="00877909"/>
    <w:rsid w:val="0088375D"/>
    <w:rsid w:val="008862A5"/>
    <w:rsid w:val="008C27FE"/>
    <w:rsid w:val="008D0B8E"/>
    <w:rsid w:val="009006EF"/>
    <w:rsid w:val="0090287E"/>
    <w:rsid w:val="00902C0C"/>
    <w:rsid w:val="009062E0"/>
    <w:rsid w:val="00912B70"/>
    <w:rsid w:val="0092028A"/>
    <w:rsid w:val="0092143D"/>
    <w:rsid w:val="00925A1E"/>
    <w:rsid w:val="009336C9"/>
    <w:rsid w:val="00954DE8"/>
    <w:rsid w:val="00972EA1"/>
    <w:rsid w:val="00985E64"/>
    <w:rsid w:val="00987C36"/>
    <w:rsid w:val="009B2A0A"/>
    <w:rsid w:val="009B4A03"/>
    <w:rsid w:val="009D4E7B"/>
    <w:rsid w:val="009E2777"/>
    <w:rsid w:val="009E6085"/>
    <w:rsid w:val="00A04D55"/>
    <w:rsid w:val="00A131A9"/>
    <w:rsid w:val="00A21F37"/>
    <w:rsid w:val="00A304C6"/>
    <w:rsid w:val="00A3173A"/>
    <w:rsid w:val="00A32697"/>
    <w:rsid w:val="00A35FF1"/>
    <w:rsid w:val="00A41CF5"/>
    <w:rsid w:val="00A644A4"/>
    <w:rsid w:val="00A83C46"/>
    <w:rsid w:val="00A95D43"/>
    <w:rsid w:val="00AA65D3"/>
    <w:rsid w:val="00AF7CFF"/>
    <w:rsid w:val="00B17D16"/>
    <w:rsid w:val="00B25327"/>
    <w:rsid w:val="00B32195"/>
    <w:rsid w:val="00B32568"/>
    <w:rsid w:val="00B46FC9"/>
    <w:rsid w:val="00B47FD1"/>
    <w:rsid w:val="00B50A65"/>
    <w:rsid w:val="00B5208E"/>
    <w:rsid w:val="00B57DB8"/>
    <w:rsid w:val="00B62D84"/>
    <w:rsid w:val="00B7138A"/>
    <w:rsid w:val="00B85793"/>
    <w:rsid w:val="00B91B31"/>
    <w:rsid w:val="00B92277"/>
    <w:rsid w:val="00B93837"/>
    <w:rsid w:val="00B94677"/>
    <w:rsid w:val="00BB2D51"/>
    <w:rsid w:val="00BB4899"/>
    <w:rsid w:val="00BB797E"/>
    <w:rsid w:val="00BF500C"/>
    <w:rsid w:val="00C31B93"/>
    <w:rsid w:val="00C331C6"/>
    <w:rsid w:val="00C36488"/>
    <w:rsid w:val="00C37456"/>
    <w:rsid w:val="00C409A0"/>
    <w:rsid w:val="00C45BA7"/>
    <w:rsid w:val="00C7221D"/>
    <w:rsid w:val="00C724D7"/>
    <w:rsid w:val="00C94676"/>
    <w:rsid w:val="00CC2B03"/>
    <w:rsid w:val="00CD1C44"/>
    <w:rsid w:val="00CD2013"/>
    <w:rsid w:val="00CE4BA0"/>
    <w:rsid w:val="00CE6AD2"/>
    <w:rsid w:val="00CF224A"/>
    <w:rsid w:val="00CF568D"/>
    <w:rsid w:val="00CF6B4A"/>
    <w:rsid w:val="00D05848"/>
    <w:rsid w:val="00D15C92"/>
    <w:rsid w:val="00D2170E"/>
    <w:rsid w:val="00D347D6"/>
    <w:rsid w:val="00D37587"/>
    <w:rsid w:val="00D375E5"/>
    <w:rsid w:val="00D61FC5"/>
    <w:rsid w:val="00D62146"/>
    <w:rsid w:val="00D935B9"/>
    <w:rsid w:val="00DB089F"/>
    <w:rsid w:val="00DB5695"/>
    <w:rsid w:val="00DC7C33"/>
    <w:rsid w:val="00DD3001"/>
    <w:rsid w:val="00DD6D43"/>
    <w:rsid w:val="00DF5D0E"/>
    <w:rsid w:val="00E02748"/>
    <w:rsid w:val="00E3284E"/>
    <w:rsid w:val="00E32A72"/>
    <w:rsid w:val="00E40D24"/>
    <w:rsid w:val="00E43716"/>
    <w:rsid w:val="00E43C89"/>
    <w:rsid w:val="00E4545B"/>
    <w:rsid w:val="00E46629"/>
    <w:rsid w:val="00E803B7"/>
    <w:rsid w:val="00E9314F"/>
    <w:rsid w:val="00E967E5"/>
    <w:rsid w:val="00EA525D"/>
    <w:rsid w:val="00EE4634"/>
    <w:rsid w:val="00F01D12"/>
    <w:rsid w:val="00F062FF"/>
    <w:rsid w:val="00F26057"/>
    <w:rsid w:val="00F30886"/>
    <w:rsid w:val="00F34153"/>
    <w:rsid w:val="00F34F3C"/>
    <w:rsid w:val="00F40906"/>
    <w:rsid w:val="00F41916"/>
    <w:rsid w:val="00F42C12"/>
    <w:rsid w:val="00F43C46"/>
    <w:rsid w:val="00F57264"/>
    <w:rsid w:val="00F6133B"/>
    <w:rsid w:val="00F81771"/>
    <w:rsid w:val="00F85352"/>
    <w:rsid w:val="00F92174"/>
    <w:rsid w:val="00F94265"/>
    <w:rsid w:val="00F9654F"/>
    <w:rsid w:val="00FB2CC9"/>
    <w:rsid w:val="00FB445C"/>
    <w:rsid w:val="00FC739C"/>
    <w:rsid w:val="00FD0423"/>
    <w:rsid w:val="00FF5806"/>
    <w:rsid w:val="00FF6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25ADF"/>
    <w:pPr>
      <w:spacing w:after="0" w:line="240" w:lineRule="auto"/>
    </w:pPr>
    <w:rPr>
      <w:rFonts w:ascii="Times New Roman" w:hAnsi="Times New Roman"/>
      <w:sz w:val="20"/>
      <w:szCs w:val="20"/>
      <w:lang w:val="bs-Latn-BA"/>
    </w:rPr>
  </w:style>
  <w:style w:type="character" w:customStyle="1" w:styleId="FootnoteTextChar">
    <w:name w:val="Footnote Text Char"/>
    <w:basedOn w:val="DefaultParagraphFont"/>
    <w:link w:val="FootnoteText"/>
    <w:uiPriority w:val="99"/>
    <w:rsid w:val="00025ADF"/>
    <w:rPr>
      <w:rFonts w:ascii="Times New Roman" w:hAnsi="Times New Roman"/>
      <w:sz w:val="20"/>
      <w:szCs w:val="20"/>
      <w:lang w:val="bs-Latn-BA"/>
    </w:rPr>
  </w:style>
  <w:style w:type="character" w:styleId="FootnoteReference">
    <w:name w:val="footnote reference"/>
    <w:basedOn w:val="DefaultParagraphFont"/>
    <w:uiPriority w:val="99"/>
    <w:semiHidden/>
    <w:unhideWhenUsed/>
    <w:rsid w:val="00025ADF"/>
    <w:rPr>
      <w:vertAlign w:val="superscript"/>
    </w:rPr>
  </w:style>
  <w:style w:type="character" w:styleId="Hyperlink">
    <w:name w:val="Hyperlink"/>
    <w:basedOn w:val="DefaultParagraphFont"/>
    <w:uiPriority w:val="99"/>
    <w:unhideWhenUsed/>
    <w:rsid w:val="00025ADF"/>
    <w:rPr>
      <w:color w:val="0563C1" w:themeColor="hyperlink"/>
      <w:u w:val="single"/>
    </w:rPr>
  </w:style>
  <w:style w:type="paragraph" w:styleId="Header">
    <w:name w:val="header"/>
    <w:basedOn w:val="Normal"/>
    <w:link w:val="HeaderChar"/>
    <w:uiPriority w:val="99"/>
    <w:unhideWhenUsed/>
    <w:rsid w:val="00025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ADF"/>
  </w:style>
  <w:style w:type="paragraph" w:styleId="Footer">
    <w:name w:val="footer"/>
    <w:basedOn w:val="Normal"/>
    <w:link w:val="FooterChar"/>
    <w:uiPriority w:val="99"/>
    <w:unhideWhenUsed/>
    <w:rsid w:val="00025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ADF"/>
  </w:style>
  <w:style w:type="paragraph" w:styleId="ListParagraph">
    <w:name w:val="List Paragraph"/>
    <w:basedOn w:val="Normal"/>
    <w:uiPriority w:val="34"/>
    <w:qFormat/>
    <w:rsid w:val="004C2564"/>
    <w:pPr>
      <w:ind w:left="720"/>
      <w:contextualSpacing/>
    </w:pPr>
  </w:style>
  <w:style w:type="paragraph" w:styleId="NormalWeb">
    <w:name w:val="Normal (Web)"/>
    <w:basedOn w:val="Normal"/>
    <w:uiPriority w:val="99"/>
    <w:unhideWhenUsed/>
    <w:rsid w:val="005B408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36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659F8"/>
    <w:rPr>
      <w:rFonts w:ascii="Courier New" w:eastAsia="Times New Roman" w:hAnsi="Courier New" w:cs="Courier New"/>
      <w:sz w:val="20"/>
      <w:szCs w:val="20"/>
    </w:rPr>
  </w:style>
  <w:style w:type="character" w:styleId="Emphasis">
    <w:name w:val="Emphasis"/>
    <w:basedOn w:val="DefaultParagraphFont"/>
    <w:uiPriority w:val="20"/>
    <w:qFormat/>
    <w:rsid w:val="003659F8"/>
    <w:rPr>
      <w:i/>
      <w:iCs/>
    </w:rPr>
  </w:style>
  <w:style w:type="character" w:styleId="Strong">
    <w:name w:val="Strong"/>
    <w:basedOn w:val="DefaultParagraphFont"/>
    <w:uiPriority w:val="22"/>
    <w:qFormat/>
    <w:rsid w:val="003659F8"/>
    <w:rPr>
      <w:b/>
      <w:bCs/>
    </w:rPr>
  </w:style>
  <w:style w:type="paragraph" w:styleId="BalloonText">
    <w:name w:val="Balloon Text"/>
    <w:basedOn w:val="Normal"/>
    <w:link w:val="BalloonTextChar"/>
    <w:uiPriority w:val="99"/>
    <w:semiHidden/>
    <w:unhideWhenUsed/>
    <w:rsid w:val="00722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7B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25ADF"/>
    <w:pPr>
      <w:spacing w:after="0" w:line="240" w:lineRule="auto"/>
    </w:pPr>
    <w:rPr>
      <w:rFonts w:ascii="Times New Roman" w:hAnsi="Times New Roman"/>
      <w:sz w:val="20"/>
      <w:szCs w:val="20"/>
      <w:lang w:val="bs-Latn-BA"/>
    </w:rPr>
  </w:style>
  <w:style w:type="character" w:customStyle="1" w:styleId="FootnoteTextChar">
    <w:name w:val="Footnote Text Char"/>
    <w:basedOn w:val="DefaultParagraphFont"/>
    <w:link w:val="FootnoteText"/>
    <w:uiPriority w:val="99"/>
    <w:rsid w:val="00025ADF"/>
    <w:rPr>
      <w:rFonts w:ascii="Times New Roman" w:hAnsi="Times New Roman"/>
      <w:sz w:val="20"/>
      <w:szCs w:val="20"/>
      <w:lang w:val="bs-Latn-BA"/>
    </w:rPr>
  </w:style>
  <w:style w:type="character" w:styleId="FootnoteReference">
    <w:name w:val="footnote reference"/>
    <w:basedOn w:val="DefaultParagraphFont"/>
    <w:uiPriority w:val="99"/>
    <w:semiHidden/>
    <w:unhideWhenUsed/>
    <w:rsid w:val="00025ADF"/>
    <w:rPr>
      <w:vertAlign w:val="superscript"/>
    </w:rPr>
  </w:style>
  <w:style w:type="character" w:styleId="Hyperlink">
    <w:name w:val="Hyperlink"/>
    <w:basedOn w:val="DefaultParagraphFont"/>
    <w:uiPriority w:val="99"/>
    <w:unhideWhenUsed/>
    <w:rsid w:val="00025ADF"/>
    <w:rPr>
      <w:color w:val="0563C1" w:themeColor="hyperlink"/>
      <w:u w:val="single"/>
    </w:rPr>
  </w:style>
  <w:style w:type="paragraph" w:styleId="Header">
    <w:name w:val="header"/>
    <w:basedOn w:val="Normal"/>
    <w:link w:val="HeaderChar"/>
    <w:uiPriority w:val="99"/>
    <w:unhideWhenUsed/>
    <w:rsid w:val="00025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ADF"/>
  </w:style>
  <w:style w:type="paragraph" w:styleId="Footer">
    <w:name w:val="footer"/>
    <w:basedOn w:val="Normal"/>
    <w:link w:val="FooterChar"/>
    <w:uiPriority w:val="99"/>
    <w:unhideWhenUsed/>
    <w:rsid w:val="00025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ADF"/>
  </w:style>
  <w:style w:type="paragraph" w:styleId="ListParagraph">
    <w:name w:val="List Paragraph"/>
    <w:basedOn w:val="Normal"/>
    <w:uiPriority w:val="34"/>
    <w:qFormat/>
    <w:rsid w:val="004C2564"/>
    <w:pPr>
      <w:ind w:left="720"/>
      <w:contextualSpacing/>
    </w:pPr>
  </w:style>
  <w:style w:type="paragraph" w:styleId="NormalWeb">
    <w:name w:val="Normal (Web)"/>
    <w:basedOn w:val="Normal"/>
    <w:uiPriority w:val="99"/>
    <w:unhideWhenUsed/>
    <w:rsid w:val="005B408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36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659F8"/>
    <w:rPr>
      <w:rFonts w:ascii="Courier New" w:eastAsia="Times New Roman" w:hAnsi="Courier New" w:cs="Courier New"/>
      <w:sz w:val="20"/>
      <w:szCs w:val="20"/>
    </w:rPr>
  </w:style>
  <w:style w:type="character" w:styleId="Emphasis">
    <w:name w:val="Emphasis"/>
    <w:basedOn w:val="DefaultParagraphFont"/>
    <w:uiPriority w:val="20"/>
    <w:qFormat/>
    <w:rsid w:val="003659F8"/>
    <w:rPr>
      <w:i/>
      <w:iCs/>
    </w:rPr>
  </w:style>
  <w:style w:type="character" w:styleId="Strong">
    <w:name w:val="Strong"/>
    <w:basedOn w:val="DefaultParagraphFont"/>
    <w:uiPriority w:val="22"/>
    <w:qFormat/>
    <w:rsid w:val="003659F8"/>
    <w:rPr>
      <w:b/>
      <w:bCs/>
    </w:rPr>
  </w:style>
  <w:style w:type="paragraph" w:styleId="BalloonText">
    <w:name w:val="Balloon Text"/>
    <w:basedOn w:val="Normal"/>
    <w:link w:val="BalloonTextChar"/>
    <w:uiPriority w:val="99"/>
    <w:semiHidden/>
    <w:unhideWhenUsed/>
    <w:rsid w:val="00722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7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749613">
      <w:bodyDiv w:val="1"/>
      <w:marLeft w:val="0"/>
      <w:marRight w:val="0"/>
      <w:marTop w:val="0"/>
      <w:marBottom w:val="0"/>
      <w:divBdr>
        <w:top w:val="none" w:sz="0" w:space="0" w:color="auto"/>
        <w:left w:val="none" w:sz="0" w:space="0" w:color="auto"/>
        <w:bottom w:val="none" w:sz="0" w:space="0" w:color="auto"/>
        <w:right w:val="none" w:sz="0" w:space="0" w:color="auto"/>
      </w:divBdr>
    </w:div>
    <w:div w:id="1250038505">
      <w:bodyDiv w:val="1"/>
      <w:marLeft w:val="0"/>
      <w:marRight w:val="0"/>
      <w:marTop w:val="0"/>
      <w:marBottom w:val="0"/>
      <w:divBdr>
        <w:top w:val="none" w:sz="0" w:space="0" w:color="auto"/>
        <w:left w:val="none" w:sz="0" w:space="0" w:color="auto"/>
        <w:bottom w:val="none" w:sz="0" w:space="0" w:color="auto"/>
        <w:right w:val="none" w:sz="0" w:space="0" w:color="auto"/>
      </w:divBdr>
    </w:div>
    <w:div w:id="174760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apers.ssrn.com/sol3/papers.cfm?abstract_id=208473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eta.parliament.uk/articles/CnhtfyB1" TargetMode="External"/><Relationship Id="rId2" Type="http://schemas.openxmlformats.org/officeDocument/2006/relationships/hyperlink" Target="http://www.legislation.gov.uk/uksi/2015/1490/contents/made" TargetMode="External"/><Relationship Id="rId1" Type="http://schemas.openxmlformats.org/officeDocument/2006/relationships/hyperlink" Target="https://papers.ssrn.com/sol3/papers.cfm?abstract_id=2084735" TargetMode="External"/><Relationship Id="rId4" Type="http://schemas.openxmlformats.org/officeDocument/2006/relationships/hyperlink" Target="http://www.legislation.gov.uk/ukpga/1994/33/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EA1EC-867F-4F0C-8257-41DFE445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4467</Words>
  <Characters>25464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Amna Hrustić</dc:creator>
  <cp:lastModifiedBy>Vukan</cp:lastModifiedBy>
  <cp:revision>4</cp:revision>
  <cp:lastPrinted>2020-06-10T07:53:00Z</cp:lastPrinted>
  <dcterms:created xsi:type="dcterms:W3CDTF">2020-06-23T09:52:00Z</dcterms:created>
  <dcterms:modified xsi:type="dcterms:W3CDTF">2020-11-03T08:47:00Z</dcterms:modified>
</cp:coreProperties>
</file>